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0D0D0D"/>
          <w:sz w:val="72"/>
          <w:szCs w:val="72"/>
        </w:rPr>
        <w:t xml:space="preserve">buildlyone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Brand Voice &amp; Website Copy</w:t>
      </w:r>
    </w:p>
    <w:p>
      <w:pPr>
        <w:spacing w:after="200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Confidential — 30 June 2026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60"/>
          <w:sz w:val="16"/>
          <w:szCs w:val="16"/>
        </w:rPr>
        <w:t xml:space="preserve">01 — THE NAME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Why buildlyone.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The name reads in three: Build. Only. One.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It is a statement of intent. Not a factory. Not a portfolio-maximising agency chasing volume. The kind of engineering partner that gives everything to the right engagement — one client at a time, one standard, no shortcuts.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The lowercase compound is deliberate. It does not announce itself. It does not need to. The restraint in the name reflects the restraint in the work — precise, unhurried, and impossible to confuse with anyone else.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Every word of this brand, every line of our website, every engagement we take on should hold that name up.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60"/>
          <w:sz w:val="16"/>
          <w:szCs w:val="16"/>
        </w:rPr>
        <w:t xml:space="preserve">02 — POSITIONING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What buildlyone is.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Positioning statement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buildlyone is a software engineering agency for institutions that operate where failure is not an option. We build the systems that banks trust, enterprises depend on, and regulators approve — across Africa and beyond.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Tagline options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Ordered by preference. Use the primary across all brand touchpoints.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8"/>
                <w:szCs w:val="18"/>
              </w:rPr>
              <w:t xml:space="preserve">Primary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Built for one standard.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8"/>
                <w:szCs w:val="18"/>
              </w:rPr>
              <w:t xml:space="preserve">Secondary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Software that holds.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8"/>
                <w:szCs w:val="18"/>
              </w:rPr>
              <w:t xml:space="preserve">Secondary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We build. Only the best.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One engagement. Full commitment.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Recommended differentiator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Most agencies compete on speed and cost. buildlyone operates on a different axis: consequence and credibility.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The differentiator: buildlyone only builds for institutions where the stakes are real. We are not a generalist agency. We are the engineering partner for organizations that carry fiduciary responsibility, regulatory obligation, and public trust. When a bank’s core system fails, people lose money. When a government platform goes down, citizens lose trust. We understand this — and every line of code we write reflects it.</w:t>
      </w:r>
    </w:p>
    <w:p>
      <w:pPr>
        <w:spacing w:after="0" w:before="12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Four things define this position: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Selective intake.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We evaluate every engagement before accepting it. Not every project qualifies — and that is the 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Regulatory fluency.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CBN, NDPA, PCI-DSS, ISO 27001 — we build compliant by default, not after the fact.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African depth, global standard.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Mobile money, USSD, local infrastructure, cross-border complexity — we have built in this environment. No one explains it to 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End-to-end accountability.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We own the outcome long after the build. We don’t hand off and disappear.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Brand personality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If buildlyone were a person: a senior engineer who has also run an institution. Precise in language. Trusted by the most rigorous organizations on the continent. Never oversells — demonstrates. Never competes on price — competes on outcome. The person in the room who says less and means more.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60"/>
          <w:sz w:val="16"/>
          <w:szCs w:val="16"/>
        </w:rPr>
        <w:t xml:space="preserve">03 — BRAND VOICE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How buildlyone speaks.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The voice does not change. The tone adapts to context. These four attributes are fixed — they are the constants of every word buildlyone publishes.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Voice attributes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4"/>
            </w:tcBorders>
            <w:tcMar>
              <w:top w:type="dxa" w:w="100"/>
              <w:left w:type="dxa" w:w="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8"/>
                <w:szCs w:val="28"/>
              </w:rPr>
              <w:t xml:space="preserve">Authoritative</w:t>
            </w:r>
          </w:p>
        </w:tc>
        <w:tc>
          <w:tcPr>
            <w:tcW w:type="dxa" w:w="6240"/>
            <w:tcBorders>
              <w:top w:val="none" w:color="FFFFFF" w:sz="0"/>
              <w:left w:val="single" w:color="E0E0E0" w:sz="4"/>
              <w:bottom w:val="none" w:color="FFFFFF" w:sz="0"/>
              <w:right w:val="none" w:color="FFFFFF" w:sz="0"/>
            </w:tcBorders>
            <w:tcMar>
              <w:top w:type="dxa" w:w="100"/>
              <w:left w:type="dxa" w:w="240"/>
              <w:bottom w:type="dxa" w:w="10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We are: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Confident from earned expertise. We speak in assertions, not suggestions.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We are not: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Aggressive, arrogant, or dismissive of the client.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Sounds like: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“Banks that run on legacy systems aren’t just behind — they’re exposed.”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Not like: </w:t>
            </w: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“We believe our solutions could potentially help financial institutions improve their processes.”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4"/>
            </w:tcBorders>
            <w:tcMar>
              <w:top w:type="dxa" w:w="100"/>
              <w:left w:type="dxa" w:w="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8"/>
                <w:szCs w:val="28"/>
              </w:rPr>
              <w:t xml:space="preserve">Precise</w:t>
            </w:r>
          </w:p>
        </w:tc>
        <w:tc>
          <w:tcPr>
            <w:tcW w:type="dxa" w:w="6240"/>
            <w:tcBorders>
              <w:top w:val="none" w:color="FFFFFF" w:sz="0"/>
              <w:left w:val="single" w:color="E0E0E0" w:sz="4"/>
              <w:bottom w:val="none" w:color="FFFFFF" w:sz="0"/>
              <w:right w:val="none" w:color="FFFFFF" w:sz="0"/>
            </w:tcBorders>
            <w:tcMar>
              <w:top w:type="dxa" w:w="100"/>
              <w:left w:type="dxa" w:w="240"/>
              <w:bottom w:type="dxa" w:w="10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We are: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word is chosen deliberately. Dense with meaning. No filler, no padding.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We are not: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Cold, robotic, or drowning in technical jargon.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Sounds like: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“We build auditable, documented, production-grade software.”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Not like: </w:t>
            </w: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“We leverage best-in-class synergies to deliver robust, end-to-end solutions.”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4"/>
            </w:tcBorders>
            <w:tcMar>
              <w:top w:type="dxa" w:w="100"/>
              <w:left w:type="dxa" w:w="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8"/>
                <w:szCs w:val="28"/>
              </w:rPr>
              <w:t xml:space="preserve">Composed</w:t>
            </w:r>
          </w:p>
        </w:tc>
        <w:tc>
          <w:tcPr>
            <w:tcW w:type="dxa" w:w="6240"/>
            <w:tcBorders>
              <w:top w:val="none" w:color="FFFFFF" w:sz="0"/>
              <w:left w:val="single" w:color="E0E0E0" w:sz="4"/>
              <w:bottom w:val="none" w:color="FFFFFF" w:sz="0"/>
              <w:right w:val="none" w:color="FFFFFF" w:sz="0"/>
            </w:tcBorders>
            <w:tcMar>
              <w:top w:type="dxa" w:w="100"/>
              <w:left w:type="dxa" w:w="240"/>
              <w:bottom w:type="dxa" w:w="10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We are: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Measured, unhurried, confident. The brand does not shout.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We are not: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Flashy, hype-driven, or reactive to trends.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Sounds like: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“We take on three to five engagements per quarter.”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Not like: </w:t>
            </w: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“We’re super excited to work with you and can’t wait to kick things off!”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4"/>
            </w:tcBorders>
            <w:tcMar>
              <w:top w:type="dxa" w:w="100"/>
              <w:left w:type="dxa" w:w="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8"/>
                <w:szCs w:val="28"/>
              </w:rPr>
              <w:t xml:space="preserve">Uncompromising</w:t>
            </w:r>
          </w:p>
        </w:tc>
        <w:tc>
          <w:tcPr>
            <w:tcW w:type="dxa" w:w="6240"/>
            <w:tcBorders>
              <w:top w:val="none" w:color="FFFFFF" w:sz="0"/>
              <w:left w:val="single" w:color="E0E0E0" w:sz="4"/>
              <w:bottom w:val="none" w:color="FFFFFF" w:sz="0"/>
              <w:right w:val="none" w:color="FFFFFF" w:sz="0"/>
            </w:tcBorders>
            <w:tcMar>
              <w:top w:type="dxa" w:w="100"/>
              <w:left w:type="dxa" w:w="240"/>
              <w:bottom w:type="dxa" w:w="10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We are: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Clear about our standards. We do not dilute for convenience or to close a deal.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We are not: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Rigid or hostile to legitimate negotiation.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Sounds like: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“We don’t cut corners. If that’s what you need, we’re not the right fit.”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Not like: </w:t>
            </w: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“We can adjust our approach to fit any budget or timeline.”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Tone by channel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8"/>
                <w:szCs w:val="18"/>
              </w:rPr>
              <w:t xml:space="preserve">Website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Commanding, minimal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"We build software that institutions trust."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8"/>
                <w:szCs w:val="18"/>
              </w:rPr>
              <w:t xml:space="preserve">LinkedIn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Authoritative, direct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"Most agencies ship. We engineer."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8"/>
                <w:szCs w:val="18"/>
              </w:rPr>
              <w:t xml:space="preserve">Client proposals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Precise, formal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"The following scope reflects our findings from the discovery phase."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8"/>
                <w:szCs w:val="18"/>
              </w:rPr>
              <w:t xml:space="preserve">Client emails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Professional, warm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"Let us know what questions came up on your end."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8"/>
                <w:szCs w:val="18"/>
              </w:rPr>
              <w:t xml:space="preserve">Case studies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Factual, outcome-focused</w:t>
            </w:r>
          </w:p>
        </w:tc>
        <w:tc>
          <w:tcPr>
            <w:tcW w:type="dxa" w:w="4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"The migration reduced downtime incidents by 83%."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Messaging pillars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Everything buildlyone communicates maps to one of these four pillars. When in doubt, ask which pillar the message serves.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Institutional trust.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We build software that institutions stake their reputation 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Engineering rigour.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Our standards match the industries we serve: regulated, audited, unforgiving.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African expertise.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We understand the complexity of building on the continent. No one explains it to 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Selective partnership.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We go deep, not wide. We choose our engagements.</w:t>
      </w:r>
    </w:p>
    <w:p>
      <w:pPr>
        <w:spacing w:after="0" w:before="120"/>
      </w:pPr>
      <w:r>
        <w:t xml:space="preserve"/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60"/>
          <w:sz w:val="16"/>
          <w:szCs w:val="16"/>
        </w:rPr>
        <w:t xml:space="preserve">04 — STYLE RULES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How we write.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Grammar &amp; mechanics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8"/>
                <w:szCs w:val="18"/>
              </w:rPr>
              <w:t xml:space="preserve">Oxford comma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8"/>
                <w:szCs w:val="18"/>
              </w:rPr>
              <w:t xml:space="preserve">Heading case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Sentence case (never title case)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8"/>
                <w:szCs w:val="18"/>
              </w:rPr>
              <w:t xml:space="preserve">Contractions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Minimal. Avoid in formal writing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8"/>
                <w:szCs w:val="18"/>
              </w:rPr>
              <w:t xml:space="preserve">Exclamation marks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Never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8"/>
                <w:szCs w:val="18"/>
              </w:rPr>
              <w:t xml:space="preserve">Numbers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Spell out one through nine; numerals for 10+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8"/>
                <w:szCs w:val="18"/>
              </w:rPr>
              <w:t xml:space="preserve">Bold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Key terms and section labels only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8"/>
                <w:szCs w:val="18"/>
              </w:rPr>
              <w:t xml:space="preserve">Ellipsis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Avoid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8"/>
                <w:szCs w:val="18"/>
              </w:rPr>
              <w:t xml:space="preserve">ALL CAPS</w:t>
            </w:r>
          </w:p>
        </w:tc>
        <w:tc>
          <w:tcPr>
            <w:tcW w:type="dxa" w:w="5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Never — use bold for emphasis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Terminology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Words matter. These choices are not preferences — they are part of the brand.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Avoid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E3A"/>
                <w:sz w:val="18"/>
                <w:szCs w:val="18"/>
              </w:rPr>
              <w:t xml:space="preserve">Systems / infrastructure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3333"/>
                <w:sz w:val="18"/>
                <w:szCs w:val="18"/>
              </w:rPr>
              <w:t xml:space="preserve">Solutions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"Solutions" is vague and overused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E3A"/>
                <w:sz w:val="18"/>
                <w:szCs w:val="18"/>
              </w:rPr>
              <w:t xml:space="preserve">Build / engineer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3333"/>
                <w:sz w:val="18"/>
                <w:szCs w:val="18"/>
              </w:rPr>
              <w:t xml:space="preserve">Deliver / leverage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Direct and active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E3A"/>
                <w:sz w:val="18"/>
                <w:szCs w:val="18"/>
              </w:rPr>
              <w:t xml:space="preserve">Institutions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3333"/>
                <w:sz w:val="18"/>
                <w:szCs w:val="18"/>
              </w:rPr>
              <w:t xml:space="preserve">Companies / clients (marketing)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Elevates the category of client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E3A"/>
                <w:sz w:val="18"/>
                <w:szCs w:val="18"/>
              </w:rPr>
              <w:t xml:space="preserve">Engagement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3333"/>
                <w:sz w:val="18"/>
                <w:szCs w:val="18"/>
              </w:rPr>
              <w:t xml:space="preserve">Project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Partnership, not transaction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E3A"/>
                <w:sz w:val="18"/>
                <w:szCs w:val="18"/>
              </w:rPr>
              <w:t xml:space="preserve">Start a conversation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3333"/>
                <w:sz w:val="18"/>
                <w:szCs w:val="18"/>
              </w:rPr>
              <w:t xml:space="preserve">Get in touch / Contact us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Deliberate and premium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E3A"/>
                <w:sz w:val="18"/>
                <w:szCs w:val="18"/>
              </w:rPr>
              <w:t xml:space="preserve">Precise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3333"/>
                <w:sz w:val="18"/>
                <w:szCs w:val="18"/>
              </w:rPr>
              <w:t xml:space="preserve">Innovative / cutting-edge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Show it — don't claim it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E3A"/>
                <w:sz w:val="18"/>
                <w:szCs w:val="18"/>
              </w:rPr>
              <w:t xml:space="preserve">We work with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B3333"/>
                <w:sz w:val="18"/>
                <w:szCs w:val="18"/>
              </w:rPr>
              <w:t xml:space="preserve">We serve</w:t>
            </w:r>
          </w:p>
        </w:tc>
        <w:tc>
          <w:tcPr>
            <w:tcW w:type="dxa" w:w="3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Equal partnership, not servitude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Words to never use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These terms will undermine buildlyone’s premium positioning. Flag and replace on sight.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Innovative / innovation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World-class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Cutting-edge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Passionate about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Synergy / synergies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Scalable (unless used in a precise technical context)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Best-in-class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One-stop shop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End-to-end (unless used precisely)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60"/>
          <w:sz w:val="16"/>
          <w:szCs w:val="16"/>
        </w:rPr>
        <w:t xml:space="preserve">05 — WEBSITE COPY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Full website copy.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Complete section-by-section copy for the buildlyone website. Written in brand voice. Ready to hand to a designer or developer.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Visual direction: dark background (near-black), bone/off-white type, architectural spacing. No gradients. No rounded corners. No stock photography.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60"/>
          <w:sz w:val="16"/>
          <w:szCs w:val="16"/>
        </w:rPr>
        <w:t xml:space="preserve">NAVIGATION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Navigation bar</w:t>
      </w:r>
    </w:p>
    <w:p>
      <w:pPr>
        <w:spacing w:after="240" w:before="8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buildlyone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        Work  ·  Approach  ·  About  ·  Start a conversation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60"/>
          <w:sz w:val="16"/>
          <w:szCs w:val="16"/>
        </w:rPr>
        <w:t xml:space="preserve">HERO SECTION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Headline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Built for one standard.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Subheadline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buildlyone is a software engineering agency for banks, enterprises, and governments across Africa and beyond. We build the systems your operations depend 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Primary CTA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Discuss your project →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Secondary CTA (text link)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See our work →</w:t>
      </w:r>
    </w:p>
    <w:p>
      <w:pPr>
        <w:spacing w:after="0" w:before="12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Services tag strip (small text beneath CTA):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Custom software · Financial infrastructure · Enterprise systems · API integrations · AI &amp; data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60"/>
          <w:sz w:val="16"/>
          <w:szCs w:val="16"/>
        </w:rPr>
        <w:t xml:space="preserve">WHAT WE BUILD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Section headline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D0D0D"/>
          <w:sz w:val="30"/>
          <w:szCs w:val="30"/>
        </w:rPr>
        <w:t xml:space="preserve">What we build.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Section body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We design and engineer software for environments where precision is not optional. Our engagements span core financial infrastructure, enterprise platforms, and integrated digital systems — built to the standards regulated industries demand.</w:t>
      </w:r>
    </w:p>
    <w:p>
      <w:pPr>
        <w:spacing w:after="0" w:before="12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Service cards (display as a grid of 5):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Core banking &amp; financial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Custom enterprise software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Web &amp; mobile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API design &amp; system integrations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AI-powered systems &amp; data infrastructure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60"/>
          <w:sz w:val="16"/>
          <w:szCs w:val="16"/>
        </w:rPr>
        <w:t xml:space="preserve">HOW WE WORK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Section headline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D0D0D"/>
          <w:sz w:val="30"/>
          <w:szCs w:val="30"/>
        </w:rPr>
        <w:t xml:space="preserve">How we work.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Section intro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We operate differently from most agencies. Our process is deliberate, our standards are fixed, and our engagements are collaborative from day one.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01 — Discovery &amp; architecture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Every engagement begins with rigorous scoping. We don’t write a single line of code until we understand your systems, your constraints, and the consequences of failure.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02 — Engineering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We build with the discipline your industry demands. Documented, auditable, production-grade code. Security and compliance are built in — not added after the fact.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03 — Delivery &amp; accountability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We don’t hand off and disappear. We stay until the system performs. Long after the build, we remain the partner you can call.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60"/>
          <w:sz w:val="16"/>
          <w:szCs w:val="16"/>
        </w:rPr>
        <w:t xml:space="preserve">WHO WE WORK WITH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Section headline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D0D0D"/>
          <w:sz w:val="30"/>
          <w:szCs w:val="30"/>
        </w:rPr>
        <w:t xml:space="preserve">We’re selective by design.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Section body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Our clients are banks and financial institutions, fintechs with traction, enterprises with real complexity, and government bodies carrying public responsibility.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We work best with organizations that understand what high-quality software requires — precision, time, and the right partner.</w:t>
      </w:r>
    </w:p>
    <w:p>
      <w:pPr>
        <w:spacing w:after="0" w:before="12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Client categories (display as clean tags or a horizontal list):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Banks &amp; financial institutions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Fintechs &amp; growth-stage startups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Large enterprises &amp; corporates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Government &amp; public sector bodies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High-net-worth individuals with complex digital needs</w:t>
      </w:r>
    </w:p>
    <w:p>
      <w:pPr>
        <w:spacing w:after="0" w:before="12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Geographic reach (small, muted):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Nigeria · Africa · United Kingdom · United States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60"/>
          <w:sz w:val="16"/>
          <w:szCs w:val="16"/>
        </w:rPr>
        <w:t xml:space="preserve">WHY BUILDLYONE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Section headline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D0D0D"/>
          <w:sz w:val="30"/>
          <w:szCs w:val="30"/>
        </w:rPr>
        <w:t xml:space="preserve">One engagement. Full commitment.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Section intro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The name says it plainly. We don’t spread thin across dozens of clients. We take on what we can do well, give it everything, and stand behind the result.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We only take on what we can do well.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We limit our active engagements per quarter. Not because of capacity — because of commitment. The institutions we work with deserve our full attention, not a fraction of it.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We understand the industries we build for.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Financial regulation, data compliance, infrastructure realities, local and cross-border complexity — we don’t need these explained to us. We have built in this environment.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We measure ourselves by outcomes, not outputs.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Code is not the deliverable. A working, trusted, institutional-grade system is. We hold ourselves to that standard — and we expect our clients to hold us to it too.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60"/>
          <w:sz w:val="16"/>
          <w:szCs w:val="16"/>
        </w:rPr>
        <w:t xml:space="preserve">CALL TO ACTION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Section headline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D0D0D"/>
          <w:sz w:val="30"/>
          <w:szCs w:val="30"/>
        </w:rPr>
        <w:t xml:space="preserve">Start a conversation.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Section body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We take on a limited number of engagements each quarter. If you’re building something that demands excellence, we’d like to hear about it.</w:t>
      </w:r>
    </w:p>
    <w:p>
      <w:pPr>
        <w:spacing w:after="0" w:before="120"/>
      </w:pPr>
      <w:r>
        <w:t xml:space="preserve"/>
      </w:r>
    </w:p>
    <w:p>
      <w:pPr>
        <w:spacing w:after="240" w:before="12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Send us a brief →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Alternative CTA options (A/B test):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Tell us about your project 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Let’s discuss what you’re building 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Enquire about availability →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60"/>
          <w:sz w:val="16"/>
          <w:szCs w:val="16"/>
        </w:rPr>
        <w:t xml:space="preserve">FOOTER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buildlyone. Software engineering for institutions.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Lagos · London · Global</w:t>
      </w:r>
    </w:p>
    <w:p>
      <w:pPr>
        <w:spacing w:after="0" w:before="12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444444"/>
          <w:sz w:val="22"/>
          <w:szCs w:val="22"/>
        </w:rPr>
        <w:t xml:space="preserve">Work  ·  Approach  ·  About  ·  Start a conversation</w:t>
      </w:r>
    </w:p>
    <w:p>
      <w:pPr>
        <w:spacing w:after="0" w:before="12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© 2026 buildlyone. All rights reserved.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60"/>
          <w:sz w:val="16"/>
          <w:szCs w:val="16"/>
        </w:rPr>
        <w:t xml:space="preserve">06 — VISUAL DIRECTION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How buildlyone looks.</w:t>
      </w:r>
    </w:p>
    <w:p>
      <w:pPr>
        <w:spacing w:after="160" w:before="80"/>
      </w:pPr>
      <w:r>
        <w:rPr>
          <w:rFonts w:ascii="Arial" w:cs="Arial" w:eastAsia="Arial" w:hAnsi="Arial"/>
          <w:i w:val="false"/>
          <w:iCs w:val="false"/>
          <w:color w:val="0D0D0D"/>
          <w:sz w:val="22"/>
          <w:szCs w:val="22"/>
        </w:rPr>
        <w:t xml:space="preserve">These notes are for the designer and developer. They define the visual language that reinforces the brand voice.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Colour palette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#0D0D0D — Near-black (primary background)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#E8E4DC — Bone/cream (primary type &amp; highlights)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#888888 — Muted grey (secondary text)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#FFFFFF — White (select contrast moments)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No accent colours. No gradients. No tints.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Typography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Display: High-contrast serif — Canela, Editorial New, or Tiempos Headline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Body: Clean sans-serif — Inter, Neue Haas Grotesk, or Suisse Int’l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Size hierarchy: large and unhurried. Headlines occupy space deliberately.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No decorative fonts. No gradients. No rounded corners.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0D0D"/>
          <w:sz w:val="26"/>
          <w:szCs w:val="26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Dark background (near-black) as the default. Bone/cream for type and highlights.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Generous whitespace. Let the content breathe. Nothing is crowded.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rounded corners. Straight edges — architectural and precise.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stock photography. If imagery is used, it must be original and institutional.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Motion is restrained. If used, it is slow, deliberate, and purposeful.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element earns its place. If it can be removed without losing meaning, remove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brand name ‘buildlyone’ is always lowercase, even at the start of a sentence.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D0D0D"/>
          <w:sz w:val="48"/>
          <w:szCs w:val="48"/>
        </w:rPr>
        <w:t xml:space="preserve">buildlyone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Built for one standard.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D0D0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D0D0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2026-06-30T17:29:51.761Z</dcterms:created>
  <dcterms:modified xsi:type="dcterms:W3CDTF">2026-06-30T17:29:51.761Z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