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GD-B1-213</w:t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波音737飞机蒙皮修复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2025年06月16日</w:t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一切正常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一切正常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一切正常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r>
              <w:t>张琪、李华</w:t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