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8.0002608695652" w:lineRule="auto"/>
        <w:jc w:val="center"/>
        <w:rPr>
          <w:b w:val="1"/>
          <w:color w:val="365f91"/>
          <w:sz w:val="28"/>
          <w:szCs w:val="28"/>
        </w:rPr>
      </w:pPr>
      <w:bookmarkStart w:colFirst="0" w:colLast="0" w:name="_g1b8azcbtlwh" w:id="0"/>
      <w:bookmarkEnd w:id="0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Кейс 1: </w:t>
      </w: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Влияние удаления маркетплейса на поведение пользователей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43faso24i7if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1. Контекст и постановка задачи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рамках развития супераппа компания объединяет различные цифровые сервисы в единую платформу. Сегодня пользователь может в одном приложении заказать такси, купить продукты, выбрать товары из маркетплейса. Однако с ростом функционала возрастает когнитивная нагрузка. Команда предлагает протестировать гипотезу, что удаление маркетплейса с главного экрана может повысить вовлечённость в основной сценарий — заказ такси.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sivu69kx4c68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 Цель исследования</w:t>
      </w:r>
    </w:p>
    <w:p w:rsidR="00000000" w:rsidDel="00000000" w:rsidP="00000000" w:rsidRDefault="00000000" w:rsidRPr="00000000" w14:paraId="00000005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Оценить влияние временного удаления модуля маркетплейса на ключевые метрики сервиса такси: вовлечённость, конверсию и удержание пользователей.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yxvgu6yv0y1p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 Формулировка гипотез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Нулевая гипотеза (H₀): Удаление маркетплейса не влияет на поведение пользователей.</w:t>
        <w:br w:type="textWrapping"/>
        <w:t xml:space="preserve">Альтернативная гипотеза (H₁): Удаление маркетплейса улучшает пользовательский опыт, повышая CR, ускоряя действия и увеличивая Retention.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xmpi98m0paam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4. Методология и дизайн теста</w:t>
      </w:r>
    </w:p>
    <w:p w:rsidR="00000000" w:rsidDel="00000000" w:rsidP="00000000" w:rsidRDefault="00000000" w:rsidRPr="00000000" w14:paraId="0000000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теста: A/B. Группа А — текущая версия приложения, группа B — версия без маркетплейса.</w:t>
        <w:br w:type="textWrapping"/>
        <w:t xml:space="preserve">Рандомизация — по пользователям. Продолжительность теста — 2–3 недели для вызревания всех метрик.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yx56154wy6x9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5. Ключевые метрики</w:t>
      </w:r>
    </w:p>
    <w:p w:rsidR="00000000" w:rsidDel="00000000" w:rsidP="00000000" w:rsidRDefault="00000000" w:rsidRPr="00000000" w14:paraId="0000000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Целевые: CR (Conversion Rate — коэффициент конверсии), Retention (удержание пользователей через 1, 3 и 7 дней после использования сервиса), время до действия (Time to Action — время от открытия до первого значимого действия), NPS (Net Promoter Score — индекс потребительской лояльности).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t5fw44s6ffg1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6. Вызревание и длительность</w:t>
      </w:r>
    </w:p>
    <w:p w:rsidR="00000000" w:rsidDel="00000000" w:rsidP="00000000" w:rsidRDefault="00000000" w:rsidRPr="00000000" w14:paraId="0000000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 и bounce rate — быстрые метрики. Retention и NPS требуют 1–2 недели. Оптимальная длительность теста: 14–21 день.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8syoootajv1r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7. Потенциальные ограничения</w:t>
      </w:r>
    </w:p>
    <w:p w:rsidR="00000000" w:rsidDel="00000000" w:rsidP="00000000" w:rsidRDefault="00000000" w:rsidRPr="00000000" w14:paraId="0000000F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Могут повлиять эффект новизны, сезонность, особенности поведения разных сегментов. Рекомендуется сегментировать аудиторию при анализе результатов.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eepq6tan4l6a" w:id="8"/>
      <w:bookmarkEnd w:id="8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8. Критерии успеха</w:t>
      </w:r>
    </w:p>
    <w:p w:rsidR="00000000" w:rsidDel="00000000" w:rsidP="00000000" w:rsidRDefault="00000000" w:rsidRPr="00000000" w14:paraId="00000011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Рост CR, Retention и снижение bounce rate в группе B, без негативной динамики по DAU и заказам.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  <w:sz w:val="26"/>
          <w:szCs w:val="26"/>
        </w:rPr>
      </w:pPr>
      <w:bookmarkStart w:colFirst="0" w:colLast="0" w:name="_6oaxxhfga50c" w:id="9"/>
      <w:bookmarkEnd w:id="9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9. Выводы и последующие шаги</w:t>
      </w:r>
    </w:p>
    <w:p w:rsidR="00000000" w:rsidDel="00000000" w:rsidP="00000000" w:rsidRDefault="00000000" w:rsidRPr="00000000" w14:paraId="0000001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успехе — редизайн, упрощение интерфейса, адаптация подхода к другим сервисам. При провале — признание ценности маркетплейса и фокус на персонализации интерфейса под разные сегменты.</w:t>
      </w:r>
    </w:p>
    <w:p w:rsidR="00000000" w:rsidDel="00000000" w:rsidP="00000000" w:rsidRDefault="00000000" w:rsidRPr="00000000" w14:paraId="0000001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