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202C44"/>
          <w:sz w:val="44"/>
        </w:rPr>
        <w:t>KREATE STUDIO</w:t>
      </w:r>
    </w:p>
    <w:p>
      <w:pPr>
        <w:spacing w:after="520"/>
      </w:pPr>
      <w:r>
        <w:rPr>
          <w:i/>
          <w:color w:val="5C666D"/>
          <w:sz w:val="21"/>
        </w:rPr>
        <w:t>India's Creative Assets Marketplace</w:t>
      </w:r>
    </w:p>
    <w:p>
      <w:pPr>
        <w:spacing w:after="200"/>
      </w:pPr>
      <w:r>
        <w:rPr>
          <w:b/>
          <w:color w:val="202C44"/>
          <w:sz w:val="48"/>
        </w:rPr>
        <w:t>GRIEVANCE REDRESSAL MECHANISM</w:t>
      </w:r>
    </w:p>
    <w:p>
      <w:pPr>
        <w:spacing w:after="320"/>
      </w:pPr>
      <w:r>
        <w:rPr>
          <w:rFonts w:ascii="Calibri" w:hAnsi="Calibri"/>
          <w:b w:val="0"/>
          <w:i w:val="0"/>
          <w:color w:val="242B36"/>
          <w:sz w:val="23"/>
        </w:rPr>
        <w:t>Policy and procedure for how Kreate Studio receives, acknowledges and resolves complaints and grievances from Buyers, Sellers and other users.</w:t>
      </w:r>
    </w:p>
    <w:p>
      <w:pPr>
        <w:spacing w:after="80"/>
        <w:pBdr>
          <w:top w:val="single" w:sz="4" w:space="8" w:color="D8DBDF"/>
          <w:bottom w:val="single" w:sz="4" w:space="8" w:color="D8DBDF"/>
        </w:pBdr>
      </w:pPr>
      <w:r>
        <w:rPr>
          <w:b/>
          <w:color w:val="5C666D"/>
          <w:sz w:val="19"/>
        </w:rPr>
        <w:t>Effective 10 July 2026   ·   Last updated 10 July 2026   ·   Version 1.0   ·   Governing law India</w:t>
      </w:r>
    </w:p>
    <w:p>
      <w:pPr>
        <w:spacing w:after="120"/>
      </w:pPr>
    </w:p>
    <w:p>
      <w:pPr>
        <w:shd w:val="clear" w:color="auto" w:fill="F6F2E7"/>
        <w:pBdr>
          <w:left w:val="single" w:sz="6" w:space="8" w:color="8A743C"/>
          <w:top w:val="single" w:sz="6" w:space="8" w:color="8A743C"/>
          <w:right w:val="single" w:sz="6" w:space="8" w:color="8A743C"/>
          <w:bottom w:val="single" w:sz="6" w:space="8" w:color="8A743C"/>
        </w:pBdr>
        <w:spacing w:after="320"/>
      </w:pPr>
      <w:r>
        <w:rPr>
          <w:b/>
          <w:color w:val="8A743C"/>
          <w:sz w:val="16"/>
        </w:rPr>
        <w:t>TEMPLATE · FOR REVIEW</w:t>
      </w:r>
      <w:r>
        <w:br/>
      </w:r>
      <w:r>
        <w:rPr>
          <w:rFonts w:ascii="Calibri" w:hAnsi="Calibri"/>
          <w:b w:val="0"/>
          <w:i w:val="0"/>
          <w:sz w:val="18"/>
        </w:rPr>
        <w:t xml:space="preserve">This mechanism is drafted to meet the grievance-redressal obligations that apply to an Indian marketplace intermediary. It should be read together with Kreate Studio's Terms of Service, Privacy Policy, Seller Policy, and Refund &amp; Cancellation Policy. Fields marked </w:t>
      </w:r>
      <w:r>
        <w:rPr>
          <w:rFonts w:ascii="Calibri" w:hAnsi="Calibri"/>
          <w:b w:val="0"/>
          <w:i/>
          <w:color w:val="5C666D"/>
          <w:sz w:val="18"/>
        </w:rPr>
        <w:t>[●]</w:t>
      </w:r>
      <w:r>
        <w:rPr>
          <w:rFonts w:ascii="Calibri" w:hAnsi="Calibri"/>
          <w:b w:val="0"/>
          <w:i w:val="0"/>
          <w:sz w:val="18"/>
        </w:rPr>
        <w:t xml:space="preserve"> must be completed, and the document reviewed by a qualified Indian advocate, before publication.</w:t>
      </w:r>
    </w:p>
    <w:p>
      <w:pPr>
        <w:spacing w:before="120"/>
      </w:pPr>
      <w:r>
        <w:rPr>
          <w:b/>
          <w:color w:val="202C44"/>
          <w:sz w:val="24"/>
        </w:rPr>
        <w:t>Contents</w:t>
      </w:r>
    </w:p>
    <w:p>
      <w:r>
        <w:fldChar w:fldCharType="begin" w:dirty="true"/>
        <w:instrText xml:space="preserve">TOC \o "1-1" \h \z \u</w:instrText>
        <w:fldChar w:fldCharType="separate"/>
      </w:r>
      <w:r>
        <w:t>Right-click here and choose “Update Field” to generate the table of contents.</w:t>
      </w:r>
      <w:r>
        <w:fldChar w:fldCharType="end"/>
      </w:r>
    </w:p>
    <w:p>
      <w:pPr>
        <w:pStyle w:val="Heading1"/>
        <w:pageBreakBefore/>
      </w:pPr>
      <w:r>
        <w:t>1. Purpose and Scope</w:t>
      </w:r>
    </w:p>
    <w:p>
      <w:r>
        <w:rPr>
          <w:rFonts w:ascii="Calibri" w:hAnsi="Calibri"/>
          <w:b/>
          <w:i w:val="0"/>
          <w:color w:val="202C44"/>
        </w:rPr>
        <w:t>1.1</w:t>
      </w:r>
      <w:r>
        <w:rPr>
          <w:rFonts w:ascii="Calibri" w:hAnsi="Calibri"/>
          <w:b w:val="0"/>
          <w:i w:val="0"/>
        </w:rPr>
        <w:t xml:space="preserve"> This Grievance Redressal Mechanism (“Mechanism” or “Policy”) sets out how Kreate Studio (“we”, “us”, “our”) receives, acknowledges, handles, and resolves complaints and grievances from users of the Kreate Studio mobile application, website, and related services (the “Platform”).</w:t>
      </w:r>
    </w:p>
    <w:p>
      <w:r>
        <w:rPr>
          <w:rFonts w:ascii="Calibri" w:hAnsi="Calibri"/>
          <w:b/>
          <w:i w:val="0"/>
          <w:color w:val="202C44"/>
        </w:rPr>
        <w:t>1.2</w:t>
      </w:r>
      <w:r>
        <w:rPr>
          <w:rFonts w:ascii="Calibri" w:hAnsi="Calibri"/>
          <w:b w:val="0"/>
          <w:i w:val="0"/>
        </w:rPr>
        <w:t xml:space="preserve"> This Mechanism applies to all users of the Platform — including Buyers, Sellers, and visitors — and to any affected third party who wishes to raise a complaint regarding Content or conduct on the Platform.</w:t>
      </w:r>
    </w:p>
    <w:p>
      <w:r>
        <w:rPr>
          <w:rFonts w:ascii="Calibri" w:hAnsi="Calibri"/>
          <w:b/>
          <w:i w:val="0"/>
          <w:color w:val="202C44"/>
        </w:rPr>
        <w:t>1.3</w:t>
      </w:r>
      <w:r>
        <w:rPr>
          <w:rFonts w:ascii="Calibri" w:hAnsi="Calibri"/>
          <w:b w:val="0"/>
          <w:i w:val="0"/>
        </w:rPr>
        <w:t xml:space="preserve"> This Mechanism forms part of, and should be read together with, our Terms of Service (in particular the Grievance Redressal clause), Privacy Policy, Seller Policy, and Refund &amp; Cancellation Policy. In the event of any conflict, the Terms of Service shall govern the contractual relationship, while this Mechanism governs the grievance-handling procedure.</w:t>
      </w:r>
    </w:p>
    <w:p>
      <w:r>
        <w:rPr>
          <w:rFonts w:ascii="Calibri" w:hAnsi="Calibri"/>
          <w:b/>
          <w:i w:val="0"/>
          <w:color w:val="202C44"/>
        </w:rPr>
        <w:t>1.4</w:t>
      </w:r>
      <w:r>
        <w:rPr>
          <w:rFonts w:ascii="Calibri" w:hAnsi="Calibri"/>
          <w:b w:val="0"/>
          <w:i w:val="0"/>
        </w:rPr>
        <w:t xml:space="preserve"> Nothing in this Mechanism limits or replaces any statutory right or remedy available to a user under Indian law, including the right to approach a court, a consumer forum, or a statutory authority.</w:t>
      </w:r>
    </w:p>
    <w:p>
      <w:pPr>
        <w:pStyle w:val="Heading1"/>
      </w:pPr>
      <w:r>
        <w:t>2. Legal Framework</w:t>
      </w:r>
    </w:p>
    <w:p>
      <w:r>
        <w:rPr>
          <w:rFonts w:ascii="Calibri" w:hAnsi="Calibri"/>
          <w:b/>
          <w:i w:val="0"/>
          <w:color w:val="202C44"/>
        </w:rPr>
        <w:t>2.1</w:t>
      </w:r>
      <w:r>
        <w:rPr>
          <w:rFonts w:ascii="Calibri" w:hAnsi="Calibri"/>
          <w:b w:val="0"/>
          <w:i w:val="0"/>
        </w:rPr>
        <w:t xml:space="preserve"> This Mechanism is established in compliance with, and gives effect to, the following laws and rules, as applicable and as amended from time to time:</w:t>
      </w:r>
    </w:p>
    <w:p>
      <w:pPr>
        <w:pStyle w:val="ListBullet"/>
      </w:pPr>
      <w:r>
        <w:rPr>
          <w:rFonts w:ascii="Calibri" w:hAnsi="Calibri"/>
          <w:b/>
          <w:i w:val="0"/>
        </w:rPr>
        <w:t>Information Technology Act, 2000 (“IT Act”)</w:t>
      </w:r>
      <w:r>
        <w:rPr>
          <w:rFonts w:ascii="Calibri" w:hAnsi="Calibri"/>
          <w:b w:val="0"/>
          <w:i w:val="0"/>
        </w:rPr>
        <w:t>, and in particular Section 79 and the intermediary due-diligence framework;</w:t>
      </w:r>
    </w:p>
    <w:p>
      <w:pPr>
        <w:pStyle w:val="ListBullet"/>
      </w:pPr>
      <w:r>
        <w:rPr>
          <w:rFonts w:ascii="Calibri" w:hAnsi="Calibri"/>
          <w:b/>
          <w:i w:val="0"/>
        </w:rPr>
        <w:t>Information Technology (Intermediary Guidelines and Digital Media Ethics Code) Rules, 2021 (“IT Rules, 2021”)</w:t>
      </w:r>
      <w:r>
        <w:rPr>
          <w:rFonts w:ascii="Calibri" w:hAnsi="Calibri"/>
          <w:b w:val="0"/>
          <w:i w:val="0"/>
        </w:rPr>
        <w:t>, including the requirement under Rule 3(2) to appoint a Grievance Officer and to acknowledge and resolve complaints within prescribed timelines;</w:t>
      </w:r>
    </w:p>
    <w:p>
      <w:pPr>
        <w:pStyle w:val="ListBullet"/>
      </w:pPr>
      <w:r>
        <w:rPr>
          <w:rFonts w:ascii="Calibri" w:hAnsi="Calibri"/>
          <w:b/>
          <w:i w:val="0"/>
        </w:rPr>
        <w:t>Consumer Protection Act, 2019 and the Consumer Protection (E-Commerce) Rules, 2020</w:t>
      </w:r>
      <w:r>
        <w:rPr>
          <w:rFonts w:ascii="Calibri" w:hAnsi="Calibri"/>
          <w:b w:val="0"/>
          <w:i w:val="0"/>
        </w:rPr>
        <w:t>, including the requirement under Rule 4 for an e-commerce entity to appoint a Grievance Officer and display their details;</w:t>
      </w:r>
    </w:p>
    <w:p>
      <w:pPr>
        <w:pStyle w:val="ListBullet"/>
      </w:pPr>
      <w:r>
        <w:rPr>
          <w:rFonts w:ascii="Calibri" w:hAnsi="Calibri"/>
          <w:b/>
          <w:i w:val="0"/>
        </w:rPr>
        <w:t>Digital Personal Data Protection Act, 2023 (“DPDP Act”)</w:t>
      </w:r>
      <w:r>
        <w:rPr>
          <w:rFonts w:ascii="Calibri" w:hAnsi="Calibri"/>
          <w:b w:val="0"/>
          <w:i w:val="0"/>
        </w:rPr>
        <w:t>, including the obligation of a Data Fiduciary to provide a readily available means of grievance redressal to Data Principals;</w:t>
      </w:r>
    </w:p>
    <w:p>
      <w:pPr>
        <w:pStyle w:val="ListBullet"/>
      </w:pPr>
      <w:r>
        <w:rPr>
          <w:rFonts w:ascii="Calibri" w:hAnsi="Calibri"/>
          <w:b/>
          <w:i w:val="0"/>
        </w:rPr>
        <w:t>Copyright Act, 1957</w:t>
      </w:r>
      <w:r>
        <w:rPr>
          <w:rFonts w:ascii="Calibri" w:hAnsi="Calibri"/>
          <w:b w:val="0"/>
          <w:i w:val="0"/>
        </w:rPr>
        <w:t xml:space="preserve"> and applicable rules, in respect of complaints alleging infringement of copyright or other intellectual-property rights.</w:t>
      </w:r>
    </w:p>
    <w:p>
      <w:pPr>
        <w:pStyle w:val="Heading1"/>
      </w:pPr>
      <w:r>
        <w:t>3. Definitions</w:t>
      </w:r>
    </w:p>
    <w:p>
      <w:r>
        <w:rPr>
          <w:rFonts w:ascii="Calibri" w:hAnsi="Calibri"/>
          <w:b/>
          <w:i w:val="0"/>
          <w:color w:val="202C44"/>
        </w:rPr>
        <w:t>3.1</w:t>
      </w:r>
      <w:r>
        <w:rPr>
          <w:rFonts w:ascii="Calibri" w:hAnsi="Calibri"/>
          <w:b w:val="0"/>
          <w:i w:val="0"/>
        </w:rPr>
        <w:t xml:space="preserve"> Capitalised terms used but not defined here have the meanings given in the Terms of Service. For the purposes of this Mechanism:</w:t>
      </w:r>
    </w:p>
    <w:p>
      <w:pPr>
        <w:pBdr>
          <w:left w:val="single" w:sz="6" w:space="6" w:color="C9C2AC"/>
          <w:right w:val="single" w:sz="6" w:space="6" w:color="C9C2AC"/>
          <w:top w:val="single" w:sz="6" w:space="6" w:color="C9C2AC"/>
        </w:pBdr>
        <w:shd w:val="clear" w:color="auto" w:fill="F4F3EF"/>
      </w:pPr>
      <w:r>
        <w:rPr>
          <w:rFonts w:ascii="Calibri" w:hAnsi="Calibri"/>
          <w:b/>
          <w:i w:val="0"/>
          <w:sz w:val="20"/>
        </w:rPr>
        <w:t>“Grievance” / “Complaint”</w:t>
      </w:r>
      <w:r>
        <w:rPr>
          <w:rFonts w:ascii="Calibri" w:hAnsi="Calibri"/>
          <w:b w:val="0"/>
          <w:i w:val="0"/>
          <w:sz w:val="20"/>
        </w:rPr>
        <w:t xml:space="preserve"> means any dissatisfaction, objection, or report communicated by a Complainant regarding the Platform, Content, a transaction, conduct of a user, processing of personal data, or any alleged violation of the Terms of Service, this Mechanism, or applicable law.</w:t>
      </w:r>
    </w:p>
    <w:p>
      <w:pPr>
        <w:pBdr>
          <w:left w:val="single" w:sz="6" w:space="6" w:color="C9C2AC"/>
          <w:right w:val="single" w:sz="6" w:space="6" w:color="C9C2AC"/>
        </w:pBdr>
        <w:shd w:val="clear" w:color="auto" w:fill="F4F3EF"/>
      </w:pPr>
      <w:r>
        <w:rPr>
          <w:rFonts w:ascii="Calibri" w:hAnsi="Calibri"/>
          <w:b/>
          <w:i w:val="0"/>
          <w:sz w:val="20"/>
        </w:rPr>
        <w:t>“Complainant”</w:t>
      </w:r>
      <w:r>
        <w:rPr>
          <w:rFonts w:ascii="Calibri" w:hAnsi="Calibri"/>
          <w:b w:val="0"/>
          <w:i w:val="0"/>
          <w:sz w:val="20"/>
        </w:rPr>
        <w:t xml:space="preserve"> means any person who submits a Grievance, whether a Buyer, Seller, visitor, or affected third party.</w:t>
      </w:r>
    </w:p>
    <w:p>
      <w:pPr>
        <w:pBdr>
          <w:left w:val="single" w:sz="6" w:space="6" w:color="C9C2AC"/>
          <w:right w:val="single" w:sz="6" w:space="6" w:color="C9C2AC"/>
        </w:pBdr>
        <w:shd w:val="clear" w:color="auto" w:fill="F4F3EF"/>
      </w:pPr>
      <w:r>
        <w:rPr>
          <w:rFonts w:ascii="Calibri" w:hAnsi="Calibri"/>
          <w:b/>
          <w:i w:val="0"/>
          <w:sz w:val="20"/>
        </w:rPr>
        <w:t>“Grievance Officer”</w:t>
      </w:r>
      <w:r>
        <w:rPr>
          <w:rFonts w:ascii="Calibri" w:hAnsi="Calibri"/>
          <w:b w:val="0"/>
          <w:i w:val="0"/>
          <w:sz w:val="20"/>
        </w:rPr>
        <w:t xml:space="preserve"> means the officer appointed by Kreate Studio under the IT Rules, 2021 and the Consumer Protection (E-Commerce) Rules, 2020 to administer this Mechanism.</w:t>
      </w:r>
    </w:p>
    <w:p>
      <w:pPr>
        <w:pBdr>
          <w:left w:val="single" w:sz="6" w:space="6" w:color="C9C2AC"/>
          <w:right w:val="single" w:sz="6" w:space="6" w:color="C9C2AC"/>
          <w:bottom w:val="single" w:sz="6" w:space="6" w:color="C9C2AC"/>
        </w:pBdr>
        <w:shd w:val="clear" w:color="auto" w:fill="F4F3EF"/>
        <w:spacing w:after="200"/>
      </w:pPr>
      <w:r>
        <w:rPr>
          <w:rFonts w:ascii="Calibri" w:hAnsi="Calibri"/>
          <w:b/>
          <w:i w:val="0"/>
          <w:sz w:val="20"/>
        </w:rPr>
        <w:t>“Data Principal”</w:t>
      </w:r>
      <w:r>
        <w:rPr>
          <w:rFonts w:ascii="Calibri" w:hAnsi="Calibri"/>
          <w:b w:val="0"/>
          <w:i w:val="0"/>
          <w:sz w:val="20"/>
        </w:rPr>
        <w:t xml:space="preserve"> and </w:t>
      </w:r>
      <w:r>
        <w:rPr>
          <w:rFonts w:ascii="Calibri" w:hAnsi="Calibri"/>
          <w:b/>
          <w:i w:val="0"/>
          <w:sz w:val="20"/>
        </w:rPr>
        <w:t>“Data Fiduciary”</w:t>
      </w:r>
      <w:r>
        <w:rPr>
          <w:rFonts w:ascii="Calibri" w:hAnsi="Calibri"/>
          <w:b w:val="0"/>
          <w:i w:val="0"/>
          <w:sz w:val="20"/>
        </w:rPr>
        <w:t xml:space="preserve"> have the meanings given under the DPDP Act, 2023.</w:t>
      </w:r>
    </w:p>
    <w:p>
      <w:pPr>
        <w:pStyle w:val="Heading1"/>
      </w:pPr>
      <w:r>
        <w:t>4. Grievance Officer</w:t>
      </w:r>
    </w:p>
    <w:p>
      <w:r>
        <w:rPr>
          <w:rFonts w:ascii="Calibri" w:hAnsi="Calibri"/>
          <w:b/>
          <w:i w:val="0"/>
          <w:color w:val="202C44"/>
        </w:rPr>
        <w:t>4.1</w:t>
      </w:r>
      <w:r>
        <w:rPr>
          <w:rFonts w:ascii="Calibri" w:hAnsi="Calibri"/>
          <w:b w:val="0"/>
          <w:i w:val="0"/>
        </w:rPr>
        <w:t xml:space="preserve"> In compliance with Rule 3(2) of the IT Rules, 2021 and Rule 4 of the Consumer Protection (E-Commerce) Rules, 2020, Kreate Studio has appointed the following Grievance Officer to receive and resolve Grievances:</w:t>
      </w:r>
    </w:p>
    <w:p>
      <w:pPr>
        <w:pBdr>
          <w:left w:val="single" w:sz="6" w:space="6" w:color="C9C2AC"/>
          <w:right w:val="single" w:sz="6" w:space="6" w:color="C9C2AC"/>
          <w:top w:val="single" w:sz="6" w:space="6" w:color="C9C2AC"/>
        </w:pBdr>
        <w:shd w:val="clear" w:color="auto" w:fill="F4F3EF"/>
      </w:pPr>
      <w:r>
        <w:rPr>
          <w:b/>
          <w:color w:val="5C666D"/>
          <w:sz w:val="19"/>
        </w:rPr>
        <w:t xml:space="preserve">Name:  </w:t>
      </w:r>
      <w:r>
        <w:rPr>
          <w:rFonts w:ascii="Calibri" w:hAnsi="Calibri"/>
          <w:b/>
          <w:i w:val="0"/>
          <w:sz w:val="20"/>
        </w:rPr>
        <w:t>Mr. Ansh Bhardwaj</w:t>
      </w:r>
    </w:p>
    <w:p>
      <w:pPr>
        <w:pBdr>
          <w:left w:val="single" w:sz="6" w:space="6" w:color="C9C2AC"/>
          <w:right w:val="single" w:sz="6" w:space="6" w:color="C9C2AC"/>
        </w:pBdr>
        <w:shd w:val="clear" w:color="auto" w:fill="F4F3EF"/>
      </w:pPr>
      <w:r>
        <w:rPr>
          <w:b/>
          <w:color w:val="5C666D"/>
          <w:sz w:val="19"/>
        </w:rPr>
        <w:t xml:space="preserve">Designation:  </w:t>
      </w:r>
      <w:r>
        <w:rPr>
          <w:rFonts w:ascii="Calibri" w:hAnsi="Calibri"/>
          <w:b w:val="0"/>
          <w:i w:val="0"/>
          <w:sz w:val="20"/>
        </w:rPr>
        <w:t>Founder, Kreate Studio</w:t>
      </w:r>
    </w:p>
    <w:p>
      <w:pPr>
        <w:pBdr>
          <w:left w:val="single" w:sz="6" w:space="6" w:color="C9C2AC"/>
          <w:right w:val="single" w:sz="6" w:space="6" w:color="C9C2AC"/>
        </w:pBdr>
        <w:shd w:val="clear" w:color="auto" w:fill="F4F3EF"/>
      </w:pPr>
      <w:r>
        <w:rPr>
          <w:b/>
          <w:color w:val="5C666D"/>
          <w:sz w:val="19"/>
        </w:rPr>
        <w:t xml:space="preserve">Email:  </w:t>
      </w:r>
      <w:hyperlink r:id="rId11">
        <w:r>
          <w:rPr>
            <w:rFonts w:ascii="Calibri" w:hAnsi="Calibri"/>
            <w:color w:val="20437A"/>
            <w:u w:val="single"/>
          </w:rPr>
          <w:t xml:space="preserve">workwithansh8@gmail.com</w:t>
        </w:r>
      </w:hyperlink>
      <w:r>
        <w:rPr>
          <w:rFonts w:ascii="Calibri" w:hAnsi="Calibri"/>
          <w:b w:val="0"/>
          <w:i w:val="0"/>
          <w:sz w:val="20"/>
        </w:rPr>
        <w:t xml:space="preserve"> (dedicated grievance email)</w:t>
      </w:r>
    </w:p>
    <w:p>
      <w:pPr>
        <w:pBdr>
          <w:left w:val="single" w:sz="6" w:space="6" w:color="C9C2AC"/>
          <w:right w:val="single" w:sz="6" w:space="6" w:color="C9C2AC"/>
        </w:pBdr>
        <w:shd w:val="clear" w:color="auto" w:fill="F4F3EF"/>
      </w:pPr>
      <w:r>
        <w:rPr>
          <w:b/>
          <w:color w:val="5C666D"/>
          <w:sz w:val="19"/>
        </w:rPr>
        <w:t xml:space="preserve">Postal address:  </w:t>
      </w:r>
      <w:r>
        <w:rPr>
          <w:rFonts w:ascii="Calibri" w:hAnsi="Calibri"/>
          <w:b w:val="0"/>
          <w:i w:val="0"/>
          <w:sz w:val="20"/>
        </w:rPr>
        <w:t>Agra, Uttar Pradesh, India</w:t>
      </w:r>
    </w:p>
    <w:p>
      <w:pPr>
        <w:pBdr>
          <w:left w:val="single" w:sz="6" w:space="6" w:color="C9C2AC"/>
          <w:right w:val="single" w:sz="6" w:space="6" w:color="C9C2AC"/>
          <w:bottom w:val="single" w:sz="6" w:space="6" w:color="C9C2AC"/>
        </w:pBdr>
        <w:shd w:val="clear" w:color="auto" w:fill="F4F3EF"/>
        <w:spacing w:after="200"/>
      </w:pPr>
      <w:r>
        <w:rPr>
          <w:b/>
          <w:color w:val="5C666D"/>
          <w:sz w:val="19"/>
        </w:rPr>
        <w:t xml:space="preserve">Working hours:  </w:t>
      </w:r>
      <w:r>
        <w:rPr>
          <w:rFonts w:ascii="Calibri" w:hAnsi="Calibri"/>
          <w:b w:val="0"/>
          <w:i w:val="0"/>
          <w:sz w:val="20"/>
        </w:rPr>
        <w:t>Monday to Friday, 10:00 to 18:00 IST</w:t>
      </w:r>
    </w:p>
    <w:p>
      <w:r>
        <w:rPr>
          <w:rFonts w:ascii="Calibri" w:hAnsi="Calibri"/>
          <w:b/>
          <w:i w:val="0"/>
          <w:color w:val="202C44"/>
        </w:rPr>
        <w:t>4.2</w:t>
      </w:r>
      <w:r>
        <w:rPr>
          <w:rFonts w:ascii="Calibri" w:hAnsi="Calibri"/>
          <w:b w:val="0"/>
          <w:i w:val="0"/>
        </w:rPr>
        <w:t xml:space="preserve"> The Grievance Officer is responsible for: (a) receiving and acknowledging Grievances; (b) coordinating their investigation and resolution within the timelines in Clause 8; (c) maintaining records of Grievances and their disposal; and (d) acting as the point of contact for users, affected persons, and, where applicable, government or judicial authorities.</w:t>
      </w:r>
    </w:p>
    <w:p>
      <w:r>
        <w:rPr>
          <w:rFonts w:ascii="Calibri" w:hAnsi="Calibri"/>
          <w:b/>
          <w:i w:val="0"/>
          <w:color w:val="202C44"/>
        </w:rPr>
        <w:t>4.3</w:t>
      </w:r>
      <w:r>
        <w:rPr>
          <w:rFonts w:ascii="Calibri" w:hAnsi="Calibri"/>
          <w:b w:val="0"/>
          <w:i w:val="0"/>
        </w:rPr>
        <w:t xml:space="preserve"> Kreate Studio will keep the Grievance Officer's details current and prominently published on the Platform. Any change will be updated on the Platform and in this Mechanism.</w:t>
      </w:r>
    </w:p>
    <w:p>
      <w:pPr>
        <w:pStyle w:val="Heading1"/>
      </w:pPr>
      <w:r>
        <w:t>5. Types of Grievances Covered</w:t>
      </w:r>
    </w:p>
    <w:p>
      <w:r>
        <w:rPr>
          <w:rFonts w:ascii="Calibri" w:hAnsi="Calibri"/>
          <w:b/>
          <w:i w:val="0"/>
          <w:color w:val="202C44"/>
        </w:rPr>
        <w:t>5.1</w:t>
      </w:r>
      <w:r>
        <w:rPr>
          <w:rFonts w:ascii="Calibri" w:hAnsi="Calibri"/>
          <w:b w:val="0"/>
          <w:i w:val="0"/>
        </w:rPr>
        <w:t xml:space="preserve"> This Mechanism covers Grievances including, but not limited to, the following categories:</w:t>
      </w:r>
    </w:p>
    <w:tbl>
      <w:tblPr>
        <w:tblW w:type="auto" w:w="0"/>
        <w:jc w:val="left"/>
        <w:tblLayout w:type="autofit"/>
        <w:tblLook w:firstColumn="1" w:firstRow="1" w:lastColumn="0" w:lastRow="0" w:noHBand="0" w:noVBand="1" w:val="04A0"/>
        <w:tblBorders>
          <w:top w:val="single" w:sz="4" w:space="0" w:color="D8DBDF"/>
          <w:left w:val="single" w:sz="4" w:space="0" w:color="D8DBDF"/>
          <w:bottom w:val="single" w:sz="4" w:space="0" w:color="D8DBDF"/>
          <w:right w:val="single" w:sz="4" w:space="0" w:color="D8DBDF"/>
          <w:insideH w:val="single" w:sz="4" w:space="0" w:color="D8DBDF"/>
          <w:insideV w:val="single" w:sz="4" w:space="0" w:color="D8DBDF"/>
        </w:tblBorders>
      </w:tblPr>
      <w:tblGrid>
        <w:gridCol w:w="4592"/>
        <w:gridCol w:w="4592"/>
      </w:tblGrid>
      <w:tr>
        <w:tc>
          <w:tcPr>
            <w:tcW w:type="dxa" w:w="4592"/>
            <w:shd w:val="clear" w:color="auto" w:fill="202C44"/>
          </w:tcPr>
          <w:p>
            <w:r/>
            <w:r>
              <w:rPr>
                <w:rFonts w:ascii="Calibri" w:hAnsi="Calibri"/>
                <w:b/>
                <w:i w:val="0"/>
                <w:color w:val="FFFFFF"/>
              </w:rPr>
              <w:t>Category</w:t>
            </w:r>
          </w:p>
        </w:tc>
        <w:tc>
          <w:tcPr>
            <w:tcW w:type="dxa" w:w="4592"/>
            <w:shd w:val="clear" w:color="auto" w:fill="202C44"/>
          </w:tcPr>
          <w:p>
            <w:r/>
            <w:r>
              <w:rPr>
                <w:rFonts w:ascii="Calibri" w:hAnsi="Calibri"/>
                <w:b/>
                <w:i w:val="0"/>
                <w:color w:val="FFFFFF"/>
              </w:rPr>
              <w:t>Examples</w:t>
            </w:r>
          </w:p>
        </w:tc>
      </w:tr>
      <w:tr>
        <w:tc>
          <w:tcPr>
            <w:tcW w:type="dxa" w:w="4592"/>
          </w:tcPr>
          <w:p>
            <w:pPr>
              <w:spacing w:after="60"/>
            </w:pPr>
            <w:r>
              <w:rPr>
                <w:sz w:val="19"/>
              </w:rPr>
            </w:r>
            <w:r>
              <w:rPr>
                <w:rFonts w:ascii="Calibri" w:hAnsi="Calibri"/>
                <w:b w:val="0"/>
                <w:i w:val="0"/>
                <w:sz w:val="19"/>
              </w:rPr>
              <w:t>Objectionable / unlawful content</w:t>
            </w:r>
          </w:p>
        </w:tc>
        <w:tc>
          <w:tcPr>
            <w:tcW w:type="dxa" w:w="4592"/>
          </w:tcPr>
          <w:p>
            <w:pPr>
              <w:spacing w:after="60"/>
            </w:pPr>
            <w:r>
              <w:rPr>
                <w:sz w:val="19"/>
              </w:rPr>
            </w:r>
            <w:r>
              <w:rPr>
                <w:rFonts w:ascii="Calibri" w:hAnsi="Calibri"/>
                <w:b w:val="0"/>
                <w:i w:val="0"/>
                <w:sz w:val="19"/>
              </w:rPr>
              <w:t>Content that is defamatory, obscene, harmful to a child, infringing, or otherwise prohibited under Rule 3(1)(b) of the IT Rules, 2021 or the Terms of Service.</w:t>
            </w:r>
          </w:p>
        </w:tc>
      </w:tr>
      <w:tr>
        <w:tc>
          <w:tcPr>
            <w:tcW w:type="dxa" w:w="4592"/>
            <w:shd w:val="clear" w:color="auto" w:fill="EEF0F2"/>
          </w:tcPr>
          <w:p>
            <w:pPr>
              <w:spacing w:after="60"/>
            </w:pPr>
            <w:r>
              <w:rPr>
                <w:sz w:val="19"/>
              </w:rPr>
            </w:r>
            <w:r>
              <w:rPr>
                <w:rFonts w:ascii="Calibri" w:hAnsi="Calibri"/>
                <w:b w:val="0"/>
                <w:i w:val="0"/>
                <w:sz w:val="19"/>
              </w:rPr>
              <w:t>Intellectual-property infringement</w:t>
            </w:r>
          </w:p>
        </w:tc>
        <w:tc>
          <w:tcPr>
            <w:tcW w:type="dxa" w:w="4592"/>
            <w:shd w:val="clear" w:color="auto" w:fill="EEF0F2"/>
          </w:tcPr>
          <w:p>
            <w:pPr>
              <w:spacing w:after="60"/>
            </w:pPr>
            <w:r>
              <w:rPr>
                <w:sz w:val="19"/>
              </w:rPr>
            </w:r>
            <w:r>
              <w:rPr>
                <w:rFonts w:ascii="Calibri" w:hAnsi="Calibri"/>
                <w:b w:val="0"/>
                <w:i w:val="0"/>
                <w:sz w:val="19"/>
              </w:rPr>
              <w:t>A Listing or Content that infringes a complainant's copyright, trademark, or other IP rights (e.g., a re-uploaded asset, template, or LUT pack).</w:t>
            </w:r>
          </w:p>
        </w:tc>
      </w:tr>
      <w:tr>
        <w:tc>
          <w:tcPr>
            <w:tcW w:type="dxa" w:w="4592"/>
          </w:tcPr>
          <w:p>
            <w:pPr>
              <w:spacing w:after="60"/>
            </w:pPr>
            <w:r>
              <w:rPr>
                <w:sz w:val="19"/>
              </w:rPr>
            </w:r>
            <w:r>
              <w:rPr>
                <w:rFonts w:ascii="Calibri" w:hAnsi="Calibri"/>
                <w:b w:val="0"/>
                <w:i w:val="0"/>
                <w:sz w:val="19"/>
              </w:rPr>
              <w:t>Consumer / transaction disputes</w:t>
            </w:r>
          </w:p>
        </w:tc>
        <w:tc>
          <w:tcPr>
            <w:tcW w:type="dxa" w:w="4592"/>
          </w:tcPr>
          <w:p>
            <w:pPr>
              <w:spacing w:after="60"/>
            </w:pPr>
            <w:r>
              <w:rPr>
                <w:sz w:val="19"/>
              </w:rPr>
            </w:r>
            <w:r>
              <w:rPr>
                <w:rFonts w:ascii="Calibri" w:hAnsi="Calibri"/>
                <w:b w:val="0"/>
                <w:i w:val="0"/>
                <w:sz w:val="19"/>
              </w:rPr>
              <w:t>Non-delivery of a purchased Creative Asset, an asset materially not as described, or a defective / non-functional file.</w:t>
            </w:r>
          </w:p>
        </w:tc>
      </w:tr>
      <w:tr>
        <w:tc>
          <w:tcPr>
            <w:tcW w:type="dxa" w:w="4592"/>
            <w:shd w:val="clear" w:color="auto" w:fill="EEF0F2"/>
          </w:tcPr>
          <w:p>
            <w:pPr>
              <w:spacing w:after="60"/>
            </w:pPr>
            <w:r>
              <w:rPr>
                <w:sz w:val="19"/>
              </w:rPr>
            </w:r>
            <w:r>
              <w:rPr>
                <w:rFonts w:ascii="Calibri" w:hAnsi="Calibri"/>
                <w:b w:val="0"/>
                <w:i w:val="0"/>
                <w:sz w:val="19"/>
              </w:rPr>
              <w:t>Payment &amp; refund issues</w:t>
            </w:r>
          </w:p>
        </w:tc>
        <w:tc>
          <w:tcPr>
            <w:tcW w:type="dxa" w:w="4592"/>
            <w:shd w:val="clear" w:color="auto" w:fill="EEF0F2"/>
          </w:tcPr>
          <w:p>
            <w:pPr>
              <w:spacing w:after="60"/>
            </w:pPr>
            <w:r>
              <w:rPr>
                <w:sz w:val="19"/>
              </w:rPr>
            </w:r>
            <w:r>
              <w:rPr>
                <w:rFonts w:ascii="Calibri" w:hAnsi="Calibri"/>
                <w:b w:val="0"/>
                <w:i w:val="0"/>
                <w:sz w:val="19"/>
              </w:rPr>
              <w:t>Failed or duplicate transactions, incorrect amounts, or refund requests under the Refund &amp; Cancellation Policy.</w:t>
            </w:r>
          </w:p>
        </w:tc>
      </w:tr>
      <w:tr>
        <w:tc>
          <w:tcPr>
            <w:tcW w:type="dxa" w:w="4592"/>
          </w:tcPr>
          <w:p>
            <w:pPr>
              <w:spacing w:after="60"/>
            </w:pPr>
            <w:r>
              <w:rPr>
                <w:sz w:val="19"/>
              </w:rPr>
            </w:r>
            <w:r>
              <w:rPr>
                <w:rFonts w:ascii="Calibri" w:hAnsi="Calibri"/>
                <w:b w:val="0"/>
                <w:i w:val="0"/>
                <w:sz w:val="19"/>
              </w:rPr>
              <w:t>Data protection &amp; privacy</w:t>
            </w:r>
          </w:p>
        </w:tc>
        <w:tc>
          <w:tcPr>
            <w:tcW w:type="dxa" w:w="4592"/>
          </w:tcPr>
          <w:p>
            <w:pPr>
              <w:spacing w:after="60"/>
            </w:pPr>
            <w:r>
              <w:rPr>
                <w:sz w:val="19"/>
              </w:rPr>
            </w:r>
            <w:r>
              <w:rPr>
                <w:rFonts w:ascii="Calibri" w:hAnsi="Calibri"/>
                <w:b w:val="0"/>
                <w:i w:val="0"/>
                <w:sz w:val="19"/>
              </w:rPr>
              <w:t>Requests or complaints regarding the collection, use, correction, or erasure of personal data, or withdrawal of consent, under the DPDP Act, 2023.</w:t>
            </w:r>
          </w:p>
        </w:tc>
      </w:tr>
      <w:tr>
        <w:tc>
          <w:tcPr>
            <w:tcW w:type="dxa" w:w="4592"/>
            <w:shd w:val="clear" w:color="auto" w:fill="EEF0F2"/>
          </w:tcPr>
          <w:p>
            <w:pPr>
              <w:spacing w:after="60"/>
            </w:pPr>
            <w:r>
              <w:rPr>
                <w:sz w:val="19"/>
              </w:rPr>
            </w:r>
            <w:r>
              <w:rPr>
                <w:rFonts w:ascii="Calibri" w:hAnsi="Calibri"/>
                <w:b w:val="0"/>
                <w:i w:val="0"/>
                <w:sz w:val="19"/>
              </w:rPr>
              <w:t>Safety, harassment &amp; conduct</w:t>
            </w:r>
          </w:p>
        </w:tc>
        <w:tc>
          <w:tcPr>
            <w:tcW w:type="dxa" w:w="4592"/>
            <w:shd w:val="clear" w:color="auto" w:fill="EEF0F2"/>
          </w:tcPr>
          <w:p>
            <w:pPr>
              <w:spacing w:after="60"/>
            </w:pPr>
            <w:r>
              <w:rPr>
                <w:sz w:val="19"/>
              </w:rPr>
            </w:r>
            <w:r>
              <w:rPr>
                <w:rFonts w:ascii="Calibri" w:hAnsi="Calibri"/>
                <w:b w:val="0"/>
                <w:i w:val="0"/>
                <w:sz w:val="19"/>
              </w:rPr>
              <w:t>Reports of harassment, impersonation, abusive behaviour, or misuse of the Report / Block tools by another user.</w:t>
            </w:r>
          </w:p>
        </w:tc>
      </w:tr>
      <w:tr>
        <w:tc>
          <w:tcPr>
            <w:tcW w:type="dxa" w:w="4592"/>
          </w:tcPr>
          <w:p>
            <w:pPr>
              <w:spacing w:after="60"/>
            </w:pPr>
            <w:r>
              <w:rPr>
                <w:sz w:val="19"/>
              </w:rPr>
            </w:r>
            <w:r>
              <w:rPr>
                <w:rFonts w:ascii="Calibri" w:hAnsi="Calibri"/>
                <w:b w:val="0"/>
                <w:i w:val="0"/>
                <w:sz w:val="19"/>
              </w:rPr>
              <w:t>Seller-account / payout issues</w:t>
            </w:r>
          </w:p>
        </w:tc>
        <w:tc>
          <w:tcPr>
            <w:tcW w:type="dxa" w:w="4592"/>
          </w:tcPr>
          <w:p>
            <w:pPr>
              <w:spacing w:after="60"/>
            </w:pPr>
            <w:r>
              <w:rPr>
                <w:sz w:val="19"/>
              </w:rPr>
            </w:r>
            <w:r>
              <w:rPr>
                <w:rFonts w:ascii="Calibri" w:hAnsi="Calibri"/>
                <w:b w:val="0"/>
                <w:i w:val="0"/>
                <w:sz w:val="19"/>
              </w:rPr>
              <w:t>Disputes about listing approval, account suspension, earnings, or payouts.</w:t>
            </w:r>
          </w:p>
        </w:tc>
      </w:tr>
    </w:tbl>
    <w:p>
      <w:pPr>
        <w:spacing w:after="80"/>
      </w:pPr>
    </w:p>
    <w:p>
      <w:pPr>
        <w:pStyle w:val="Heading1"/>
      </w:pPr>
      <w:r>
        <w:t>6. How to Submit a Grievance</w:t>
      </w:r>
    </w:p>
    <w:p>
      <w:r>
        <w:rPr>
          <w:rFonts w:ascii="Calibri" w:hAnsi="Calibri"/>
          <w:b/>
          <w:i w:val="0"/>
          <w:color w:val="202C44"/>
        </w:rPr>
        <w:t>6.1 Channels.</w:t>
      </w:r>
      <w:r>
        <w:rPr>
          <w:rFonts w:ascii="Calibri" w:hAnsi="Calibri"/>
          <w:b w:val="0"/>
          <w:i w:val="0"/>
        </w:rPr>
        <w:t xml:space="preserve"> A Complainant may submit a Grievance through any of the following:</w:t>
      </w:r>
    </w:p>
    <w:p>
      <w:pPr>
        <w:pStyle w:val="ListBullet"/>
      </w:pPr>
      <w:r>
        <w:rPr>
          <w:rFonts w:ascii="Calibri" w:hAnsi="Calibri"/>
          <w:b/>
          <w:i w:val="0"/>
        </w:rPr>
        <w:t>In-app tools</w:t>
      </w:r>
      <w:r>
        <w:rPr>
          <w:rFonts w:ascii="Calibri" w:hAnsi="Calibri"/>
          <w:b w:val="0"/>
          <w:i w:val="0"/>
        </w:rPr>
        <w:t xml:space="preserve"> — the Report and Block features within the Platform, for objectionable Content or user conduct;</w:t>
      </w:r>
    </w:p>
    <w:p>
      <w:pPr>
        <w:pStyle w:val="ListBullet"/>
      </w:pPr>
      <w:r>
        <w:rPr>
          <w:rFonts w:ascii="Calibri" w:hAnsi="Calibri"/>
          <w:b/>
          <w:i w:val="0"/>
        </w:rPr>
        <w:t>Email</w:t>
      </w:r>
      <w:r>
        <w:rPr>
          <w:rFonts w:ascii="Calibri" w:hAnsi="Calibri"/>
          <w:b w:val="0"/>
          <w:i w:val="0"/>
        </w:rPr>
        <w:t xml:space="preserve"> — to the Grievance Officer at </w:t>
      </w:r>
      <w:hyperlink r:id="rId11">
        <w:r>
          <w:rPr>
            <w:rFonts w:ascii="Calibri" w:hAnsi="Calibri"/>
            <w:color w:val="20437A"/>
            <w:u w:val="single"/>
          </w:rPr>
          <w:t xml:space="preserve">workwithansh8@gmail.com</w:t>
        </w:r>
      </w:hyperlink>
      <w:r>
        <w:rPr>
          <w:rFonts w:ascii="Calibri" w:hAnsi="Calibri"/>
          <w:b w:val="0"/>
          <w:i w:val="0"/>
        </w:rPr>
        <w:t>;</w:t>
      </w:r>
    </w:p>
    <w:p>
      <w:pPr>
        <w:pStyle w:val="ListBullet"/>
      </w:pPr>
      <w:r>
        <w:rPr>
          <w:rFonts w:ascii="Calibri" w:hAnsi="Calibri"/>
          <w:b/>
          <w:i w:val="0"/>
        </w:rPr>
        <w:t>Written notice</w:t>
      </w:r>
      <w:r>
        <w:rPr>
          <w:rFonts w:ascii="Calibri" w:hAnsi="Calibri"/>
          <w:b w:val="0"/>
          <w:i w:val="0"/>
        </w:rPr>
        <w:t xml:space="preserve"> — by post to the Grievance Officer at the address in Clause 4.1.</w:t>
      </w:r>
    </w:p>
    <w:p>
      <w:r>
        <w:rPr>
          <w:rFonts w:ascii="Calibri" w:hAnsi="Calibri"/>
          <w:b/>
          <w:i w:val="0"/>
          <w:color w:val="202C44"/>
        </w:rPr>
        <w:t>6.2 Information to include.</w:t>
      </w:r>
      <w:r>
        <w:rPr>
          <w:rFonts w:ascii="Calibri" w:hAnsi="Calibri"/>
          <w:b w:val="0"/>
          <w:i w:val="0"/>
        </w:rPr>
        <w:t xml:space="preserve"> To help us act promptly, a Grievance should include, so far as available:</w:t>
      </w:r>
    </w:p>
    <w:p>
      <w:pPr>
        <w:pStyle w:val="ListBullet"/>
      </w:pPr>
      <w:r>
        <w:rPr>
          <w:rFonts w:ascii="Calibri" w:hAnsi="Calibri"/>
          <w:b w:val="0"/>
          <w:i w:val="0"/>
        </w:rPr>
        <w:t>the Complainant's name and contact details (email and, where relevant, postal address);</w:t>
      </w:r>
    </w:p>
    <w:p>
      <w:pPr>
        <w:pStyle w:val="ListBullet"/>
      </w:pPr>
      <w:r>
        <w:rPr>
          <w:rFonts w:ascii="Calibri" w:hAnsi="Calibri"/>
          <w:b w:val="0"/>
          <w:i w:val="0"/>
        </w:rPr>
        <w:t>a clear description of the Grievance, and the category it relates to (see Clause 5);</w:t>
      </w:r>
    </w:p>
    <w:p>
      <w:pPr>
        <w:pStyle w:val="ListBullet"/>
      </w:pPr>
      <w:r>
        <w:rPr>
          <w:rFonts w:ascii="Calibri" w:hAnsi="Calibri"/>
          <w:b w:val="0"/>
          <w:i w:val="0"/>
        </w:rPr>
        <w:t>identification of the relevant Listing, Content, transaction, or user (e.g., Listing link/ID, order/payment ID, username);</w:t>
      </w:r>
    </w:p>
    <w:p>
      <w:pPr>
        <w:pStyle w:val="ListBullet"/>
      </w:pPr>
      <w:r>
        <w:rPr>
          <w:rFonts w:ascii="Calibri" w:hAnsi="Calibri"/>
          <w:b w:val="0"/>
          <w:i w:val="0"/>
        </w:rPr>
        <w:t>for intellectual-property complaints, the additional details required under Clause 9.3;</w:t>
      </w:r>
    </w:p>
    <w:p>
      <w:pPr>
        <w:pStyle w:val="ListBullet"/>
      </w:pPr>
      <w:r>
        <w:rPr>
          <w:rFonts w:ascii="Calibri" w:hAnsi="Calibri"/>
          <w:b w:val="0"/>
          <w:i w:val="0"/>
        </w:rPr>
        <w:t>any supporting evidence (screenshots, links, documents); and</w:t>
      </w:r>
    </w:p>
    <w:p>
      <w:pPr>
        <w:pStyle w:val="ListBullet"/>
      </w:pPr>
      <w:r>
        <w:rPr>
          <w:rFonts w:ascii="Calibri" w:hAnsi="Calibri"/>
          <w:b w:val="0"/>
          <w:i w:val="0"/>
        </w:rPr>
        <w:t>the outcome or remedy the Complainant is seeking.</w:t>
      </w:r>
    </w:p>
    <w:p>
      <w:r>
        <w:rPr>
          <w:rFonts w:ascii="Calibri" w:hAnsi="Calibri"/>
          <w:b/>
          <w:i w:val="0"/>
          <w:color w:val="202C44"/>
        </w:rPr>
        <w:t>6.3 Authenticity.</w:t>
      </w:r>
      <w:r>
        <w:rPr>
          <w:rFonts w:ascii="Calibri" w:hAnsi="Calibri"/>
          <w:b w:val="0"/>
          <w:i w:val="0"/>
        </w:rPr>
        <w:t xml:space="preserve"> A Grievance must not be false, frivolous, or made in bad faith. The Complainant must be either the affected person or a person duly authorised to act on their behalf, and must not misrepresent their identity. Signing of complaints (physically or electronically) may be required where the law so provides, for example in IP takedown requests.</w:t>
      </w:r>
    </w:p>
    <w:p>
      <w:pPr>
        <w:pStyle w:val="Heading1"/>
      </w:pPr>
      <w:r>
        <w:t>7. Grievance Handling Process</w:t>
      </w:r>
    </w:p>
    <w:p>
      <w:r>
        <w:rPr>
          <w:rFonts w:ascii="Calibri" w:hAnsi="Calibri"/>
          <w:b/>
          <w:i w:val="0"/>
          <w:color w:val="202C44"/>
        </w:rPr>
        <w:t>7.1</w:t>
      </w:r>
      <w:r>
        <w:rPr>
          <w:rFonts w:ascii="Calibri" w:hAnsi="Calibri"/>
          <w:b w:val="0"/>
          <w:i w:val="0"/>
        </w:rPr>
        <w:t xml:space="preserve"> Grievances are handled through the following stages:</w:t>
      </w:r>
    </w:p>
    <w:p>
      <w:pPr>
        <w:spacing w:after="120"/>
        <w:ind w:left="283"/>
      </w:pPr>
      <w:r>
        <w:rPr>
          <w:b/>
          <w:color w:val="202C44"/>
        </w:rPr>
        <w:t>1. Receipt &amp; logging</w:t>
      </w:r>
      <w:r>
        <w:br/>
      </w:r>
      <w:r>
        <w:rPr>
          <w:rFonts w:ascii="Calibri" w:hAnsi="Calibri"/>
          <w:b w:val="0"/>
          <w:i w:val="0"/>
        </w:rPr>
        <w:t>The Grievance is received through a channel in Clause 6 and logged with a unique reference and a timestamp.</w:t>
      </w:r>
    </w:p>
    <w:p>
      <w:pPr>
        <w:spacing w:after="120"/>
        <w:ind w:left="283"/>
      </w:pPr>
      <w:r>
        <w:rPr>
          <w:b/>
          <w:color w:val="202C44"/>
        </w:rPr>
        <w:t>2. Acknowledgement</w:t>
      </w:r>
      <w:r>
        <w:br/>
      </w:r>
      <w:r>
        <w:rPr>
          <w:rFonts w:ascii="Calibri" w:hAnsi="Calibri"/>
          <w:b w:val="0"/>
          <w:i w:val="0"/>
        </w:rPr>
        <w:t>The Grievance Officer acknowledges receipt within the timeline in Clause 8, providing the reference number.</w:t>
      </w:r>
    </w:p>
    <w:p>
      <w:pPr>
        <w:spacing w:after="120"/>
        <w:ind w:left="283"/>
      </w:pPr>
      <w:r>
        <w:rPr>
          <w:b/>
          <w:color w:val="202C44"/>
        </w:rPr>
        <w:t>3. Review &amp; investigation</w:t>
      </w:r>
      <w:r>
        <w:br/>
      </w:r>
      <w:r>
        <w:rPr>
          <w:rFonts w:ascii="Calibri" w:hAnsi="Calibri"/>
          <w:b w:val="0"/>
          <w:i w:val="0"/>
        </w:rPr>
        <w:t>The Grievance Officer reviews the complaint, gathers relevant information, and, where appropriate, seeks a response from the user or Seller concerned (for example, through the counter-notice process for IP complaints).</w:t>
      </w:r>
    </w:p>
    <w:p>
      <w:pPr>
        <w:spacing w:after="120"/>
        <w:ind w:left="283"/>
      </w:pPr>
      <w:r>
        <w:rPr>
          <w:b/>
          <w:color w:val="202C44"/>
        </w:rPr>
        <w:t>4. Action</w:t>
      </w:r>
      <w:r>
        <w:br/>
      </w:r>
      <w:r>
        <w:rPr>
          <w:rFonts w:ascii="Calibri" w:hAnsi="Calibri"/>
          <w:b w:val="0"/>
          <w:i w:val="0"/>
        </w:rPr>
        <w:t>Based on the review, we take proportionate action, which may include removing or disabling Content, correcting or deleting data, processing a refund, issuing a warning, suspending or terminating an account, or informing the Complainant that no action is warranted with reasons.</w:t>
      </w:r>
    </w:p>
    <w:p>
      <w:pPr>
        <w:spacing w:after="120"/>
        <w:ind w:left="283"/>
      </w:pPr>
      <w:r>
        <w:rPr>
          <w:b/>
          <w:color w:val="202C44"/>
        </w:rPr>
        <w:t>5. Communication of outcome</w:t>
      </w:r>
      <w:r>
        <w:br/>
      </w:r>
      <w:r>
        <w:rPr>
          <w:rFonts w:ascii="Calibri" w:hAnsi="Calibri"/>
          <w:b w:val="0"/>
          <w:i w:val="0"/>
        </w:rPr>
        <w:t>The Complainant is informed of the outcome within the resolution timeline in Clause 8.</w:t>
      </w:r>
    </w:p>
    <w:p>
      <w:pPr>
        <w:spacing w:after="120"/>
        <w:ind w:left="283"/>
      </w:pPr>
      <w:r>
        <w:rPr>
          <w:b/>
          <w:color w:val="202C44"/>
        </w:rPr>
        <w:t>6. Closure &amp; record</w:t>
      </w:r>
      <w:r>
        <w:br/>
      </w:r>
      <w:r>
        <w:rPr>
          <w:rFonts w:ascii="Calibri" w:hAnsi="Calibri"/>
          <w:b w:val="0"/>
          <w:i w:val="0"/>
        </w:rPr>
        <w:t>The Grievance is marked closed and retained on record in accordance with Clause 11.</w:t>
      </w:r>
    </w:p>
    <w:p>
      <w:pPr>
        <w:pStyle w:val="Heading1"/>
      </w:pPr>
      <w:r>
        <w:t>8. Timelines for Acknowledgement and Resolution</w:t>
      </w:r>
    </w:p>
    <w:p>
      <w:r>
        <w:rPr>
          <w:rFonts w:ascii="Calibri" w:hAnsi="Calibri"/>
          <w:b/>
          <w:i w:val="0"/>
          <w:color w:val="202C44"/>
        </w:rPr>
        <w:t>8.1</w:t>
      </w:r>
      <w:r>
        <w:rPr>
          <w:rFonts w:ascii="Calibri" w:hAnsi="Calibri"/>
          <w:b w:val="0"/>
          <w:i w:val="0"/>
        </w:rPr>
        <w:t xml:space="preserve"> Kreate Studio observes the following timelines. Where more than one applies to a Grievance, the shorter (more protective) timeline is followed.</w:t>
      </w:r>
    </w:p>
    <w:tbl>
      <w:tblPr>
        <w:tblW w:type="auto" w:w="0"/>
        <w:jc w:val="left"/>
        <w:tblLayout w:type="autofit"/>
        <w:tblLook w:firstColumn="1" w:firstRow="1" w:lastColumn="0" w:lastRow="0" w:noHBand="0" w:noVBand="1" w:val="04A0"/>
        <w:tblBorders>
          <w:top w:val="single" w:sz="4" w:space="0" w:color="D8DBDF"/>
          <w:left w:val="single" w:sz="4" w:space="0" w:color="D8DBDF"/>
          <w:bottom w:val="single" w:sz="4" w:space="0" w:color="D8DBDF"/>
          <w:right w:val="single" w:sz="4" w:space="0" w:color="D8DBDF"/>
          <w:insideH w:val="single" w:sz="4" w:space="0" w:color="D8DBDF"/>
          <w:insideV w:val="single" w:sz="4" w:space="0" w:color="D8DBDF"/>
        </w:tblBorders>
      </w:tblPr>
      <w:tblGrid>
        <w:gridCol w:w="2296"/>
        <w:gridCol w:w="2296"/>
        <w:gridCol w:w="2296"/>
        <w:gridCol w:w="2296"/>
      </w:tblGrid>
      <w:tr>
        <w:tc>
          <w:tcPr>
            <w:tcW w:type="dxa" w:w="2296"/>
            <w:shd w:val="clear" w:color="auto" w:fill="202C44"/>
          </w:tcPr>
          <w:p>
            <w:r/>
            <w:r>
              <w:rPr>
                <w:rFonts w:ascii="Calibri" w:hAnsi="Calibri"/>
                <w:b/>
                <w:i w:val="0"/>
                <w:color w:val="FFFFFF"/>
              </w:rPr>
              <w:t>Type of Grievance</w:t>
            </w:r>
          </w:p>
        </w:tc>
        <w:tc>
          <w:tcPr>
            <w:tcW w:type="dxa" w:w="2296"/>
            <w:shd w:val="clear" w:color="auto" w:fill="202C44"/>
          </w:tcPr>
          <w:p>
            <w:r/>
            <w:r>
              <w:rPr>
                <w:rFonts w:ascii="Calibri" w:hAnsi="Calibri"/>
                <w:b/>
                <w:i w:val="0"/>
                <w:color w:val="FFFFFF"/>
              </w:rPr>
              <w:t>Acknowledge</w:t>
            </w:r>
          </w:p>
        </w:tc>
        <w:tc>
          <w:tcPr>
            <w:tcW w:type="dxa" w:w="2296"/>
            <w:shd w:val="clear" w:color="auto" w:fill="202C44"/>
          </w:tcPr>
          <w:p>
            <w:r/>
            <w:r>
              <w:rPr>
                <w:rFonts w:ascii="Calibri" w:hAnsi="Calibri"/>
                <w:b/>
                <w:i w:val="0"/>
                <w:color w:val="FFFFFF"/>
              </w:rPr>
              <w:t>Resolve / Dispose</w:t>
            </w:r>
          </w:p>
        </w:tc>
        <w:tc>
          <w:tcPr>
            <w:tcW w:type="dxa" w:w="2296"/>
            <w:shd w:val="clear" w:color="auto" w:fill="202C44"/>
          </w:tcPr>
          <w:p>
            <w:r/>
            <w:r>
              <w:rPr>
                <w:rFonts w:ascii="Calibri" w:hAnsi="Calibri"/>
                <w:b/>
                <w:i w:val="0"/>
                <w:color w:val="FFFFFF"/>
              </w:rPr>
              <w:t>Basis</w:t>
            </w:r>
          </w:p>
        </w:tc>
      </w:tr>
      <w:tr>
        <w:tc>
          <w:tcPr>
            <w:tcW w:type="dxa" w:w="2296"/>
          </w:tcPr>
          <w:p>
            <w:pPr>
              <w:spacing w:after="60"/>
            </w:pPr>
            <w:r>
              <w:rPr>
                <w:sz w:val="19"/>
              </w:rPr>
            </w:r>
            <w:r>
              <w:rPr>
                <w:rFonts w:ascii="Calibri" w:hAnsi="Calibri"/>
                <w:b w:val="0"/>
                <w:i w:val="0"/>
                <w:sz w:val="19"/>
              </w:rPr>
              <w:t>General grievances</w:t>
            </w:r>
          </w:p>
        </w:tc>
        <w:tc>
          <w:tcPr>
            <w:tcW w:type="dxa" w:w="2296"/>
          </w:tcPr>
          <w:p>
            <w:pPr>
              <w:spacing w:after="60"/>
            </w:pPr>
            <w:r>
              <w:rPr>
                <w:sz w:val="19"/>
              </w:rPr>
            </w:r>
            <w:r>
              <w:rPr>
                <w:rFonts w:ascii="Calibri" w:hAnsi="Calibri"/>
                <w:b w:val="0"/>
                <w:i w:val="0"/>
                <w:sz w:val="19"/>
              </w:rPr>
              <w:t>Within 24 hours</w:t>
            </w:r>
          </w:p>
        </w:tc>
        <w:tc>
          <w:tcPr>
            <w:tcW w:type="dxa" w:w="2296"/>
          </w:tcPr>
          <w:p>
            <w:pPr>
              <w:spacing w:after="60"/>
            </w:pPr>
            <w:r>
              <w:rPr>
                <w:sz w:val="19"/>
              </w:rPr>
            </w:r>
            <w:r>
              <w:rPr>
                <w:rFonts w:ascii="Calibri" w:hAnsi="Calibri"/>
                <w:b w:val="0"/>
                <w:i w:val="0"/>
                <w:sz w:val="19"/>
              </w:rPr>
              <w:t>Within 15 days</w:t>
            </w:r>
          </w:p>
        </w:tc>
        <w:tc>
          <w:tcPr>
            <w:tcW w:type="dxa" w:w="2296"/>
          </w:tcPr>
          <w:p>
            <w:pPr>
              <w:spacing w:after="60"/>
            </w:pPr>
            <w:r>
              <w:rPr>
                <w:sz w:val="19"/>
              </w:rPr>
            </w:r>
            <w:r>
              <w:rPr>
                <w:rFonts w:ascii="Calibri" w:hAnsi="Calibri"/>
                <w:b w:val="0"/>
                <w:i w:val="0"/>
                <w:sz w:val="19"/>
              </w:rPr>
              <w:t>Rule 3(2)(a), IT Rules, 2021</w:t>
            </w:r>
          </w:p>
        </w:tc>
      </w:tr>
      <w:tr>
        <w:tc>
          <w:tcPr>
            <w:tcW w:type="dxa" w:w="2296"/>
            <w:shd w:val="clear" w:color="auto" w:fill="EEF0F2"/>
          </w:tcPr>
          <w:p>
            <w:pPr>
              <w:spacing w:after="60"/>
            </w:pPr>
            <w:r>
              <w:rPr>
                <w:sz w:val="19"/>
              </w:rPr>
            </w:r>
            <w:r>
              <w:rPr>
                <w:rFonts w:ascii="Calibri" w:hAnsi="Calibri"/>
                <w:b w:val="0"/>
                <w:i w:val="0"/>
                <w:sz w:val="19"/>
              </w:rPr>
              <w:t xml:space="preserve">Sensitive content </w:t>
            </w:r>
            <w:r>
              <w:rPr>
                <w:sz w:val="19"/>
              </w:rPr>
              <w:br/>
            </w:r>
            <w:r>
              <w:rPr>
                <w:rFonts w:ascii="Calibri" w:hAnsi="Calibri"/>
                <w:b w:val="0"/>
                <w:i w:val="0"/>
                <w:sz w:val="19"/>
              </w:rPr>
              <w:t>(e.g., exposing private area, nudity, impersonation)</w:t>
            </w:r>
          </w:p>
        </w:tc>
        <w:tc>
          <w:tcPr>
            <w:tcW w:type="dxa" w:w="2296"/>
            <w:shd w:val="clear" w:color="auto" w:fill="EEF0F2"/>
          </w:tcPr>
          <w:p>
            <w:pPr>
              <w:spacing w:after="60"/>
            </w:pPr>
            <w:r>
              <w:rPr>
                <w:sz w:val="19"/>
              </w:rPr>
            </w:r>
            <w:r>
              <w:rPr>
                <w:rFonts w:ascii="Calibri" w:hAnsi="Calibri"/>
                <w:b w:val="0"/>
                <w:i w:val="0"/>
                <w:sz w:val="19"/>
              </w:rPr>
              <w:t>On receipt</w:t>
            </w:r>
          </w:p>
        </w:tc>
        <w:tc>
          <w:tcPr>
            <w:tcW w:type="dxa" w:w="2296"/>
            <w:shd w:val="clear" w:color="auto" w:fill="EEF0F2"/>
          </w:tcPr>
          <w:p>
            <w:pPr>
              <w:spacing w:after="60"/>
            </w:pPr>
            <w:r>
              <w:rPr>
                <w:sz w:val="19"/>
              </w:rPr>
            </w:r>
            <w:r>
              <w:rPr>
                <w:rFonts w:ascii="Calibri" w:hAnsi="Calibri"/>
                <w:b w:val="0"/>
                <w:i w:val="0"/>
                <w:sz w:val="19"/>
              </w:rPr>
              <w:t>Within 24 hours</w:t>
            </w:r>
          </w:p>
        </w:tc>
        <w:tc>
          <w:tcPr>
            <w:tcW w:type="dxa" w:w="2296"/>
            <w:shd w:val="clear" w:color="auto" w:fill="EEF0F2"/>
          </w:tcPr>
          <w:p>
            <w:pPr>
              <w:spacing w:after="60"/>
            </w:pPr>
            <w:r>
              <w:rPr>
                <w:sz w:val="19"/>
              </w:rPr>
            </w:r>
            <w:r>
              <w:rPr>
                <w:rFonts w:ascii="Calibri" w:hAnsi="Calibri"/>
                <w:b w:val="0"/>
                <w:i w:val="0"/>
                <w:sz w:val="19"/>
              </w:rPr>
              <w:t>Rule 3(2)(b), IT Rules, 2021</w:t>
            </w:r>
          </w:p>
        </w:tc>
      </w:tr>
      <w:tr>
        <w:tc>
          <w:tcPr>
            <w:tcW w:type="dxa" w:w="2296"/>
          </w:tcPr>
          <w:p>
            <w:pPr>
              <w:spacing w:after="60"/>
            </w:pPr>
            <w:r>
              <w:rPr>
                <w:sz w:val="19"/>
              </w:rPr>
            </w:r>
            <w:r>
              <w:rPr>
                <w:rFonts w:ascii="Calibri" w:hAnsi="Calibri"/>
                <w:b w:val="0"/>
                <w:i w:val="0"/>
                <w:sz w:val="19"/>
              </w:rPr>
              <w:t>Consumer / e-commerce complaints</w:t>
            </w:r>
          </w:p>
        </w:tc>
        <w:tc>
          <w:tcPr>
            <w:tcW w:type="dxa" w:w="2296"/>
          </w:tcPr>
          <w:p>
            <w:pPr>
              <w:spacing w:after="60"/>
            </w:pPr>
            <w:r>
              <w:rPr>
                <w:sz w:val="19"/>
              </w:rPr>
            </w:r>
            <w:r>
              <w:rPr>
                <w:rFonts w:ascii="Calibri" w:hAnsi="Calibri"/>
                <w:b w:val="0"/>
                <w:i w:val="0"/>
                <w:sz w:val="19"/>
              </w:rPr>
              <w:t>Within 48 hours</w:t>
            </w:r>
          </w:p>
        </w:tc>
        <w:tc>
          <w:tcPr>
            <w:tcW w:type="dxa" w:w="2296"/>
          </w:tcPr>
          <w:p>
            <w:pPr>
              <w:spacing w:after="60"/>
            </w:pPr>
            <w:r>
              <w:rPr>
                <w:sz w:val="19"/>
              </w:rPr>
            </w:r>
            <w:r>
              <w:rPr>
                <w:rFonts w:ascii="Calibri" w:hAnsi="Calibri"/>
                <w:b w:val="0"/>
                <w:i w:val="0"/>
                <w:sz w:val="19"/>
              </w:rPr>
              <w:t>Within 1 month</w:t>
            </w:r>
          </w:p>
        </w:tc>
        <w:tc>
          <w:tcPr>
            <w:tcW w:type="dxa" w:w="2296"/>
          </w:tcPr>
          <w:p>
            <w:pPr>
              <w:spacing w:after="60"/>
            </w:pPr>
            <w:r>
              <w:rPr>
                <w:sz w:val="19"/>
              </w:rPr>
            </w:r>
            <w:r>
              <w:rPr>
                <w:rFonts w:ascii="Calibri" w:hAnsi="Calibri"/>
                <w:b w:val="0"/>
                <w:i w:val="0"/>
                <w:sz w:val="19"/>
              </w:rPr>
              <w:t>Rule 4, CP (E-Commerce) Rules, 2020</w:t>
            </w:r>
          </w:p>
        </w:tc>
      </w:tr>
      <w:tr>
        <w:tc>
          <w:tcPr>
            <w:tcW w:type="dxa" w:w="2296"/>
            <w:shd w:val="clear" w:color="auto" w:fill="EEF0F2"/>
          </w:tcPr>
          <w:p>
            <w:pPr>
              <w:spacing w:after="60"/>
            </w:pPr>
            <w:r>
              <w:rPr>
                <w:sz w:val="19"/>
              </w:rPr>
            </w:r>
            <w:r>
              <w:rPr>
                <w:rFonts w:ascii="Calibri" w:hAnsi="Calibri"/>
                <w:b w:val="0"/>
                <w:i w:val="0"/>
                <w:sz w:val="19"/>
              </w:rPr>
              <w:t>Intellectual-property (takedown)</w:t>
            </w:r>
          </w:p>
        </w:tc>
        <w:tc>
          <w:tcPr>
            <w:tcW w:type="dxa" w:w="2296"/>
            <w:shd w:val="clear" w:color="auto" w:fill="EEF0F2"/>
          </w:tcPr>
          <w:p>
            <w:pPr>
              <w:spacing w:after="60"/>
            </w:pPr>
            <w:r>
              <w:rPr>
                <w:sz w:val="19"/>
              </w:rPr>
            </w:r>
            <w:r>
              <w:rPr>
                <w:rFonts w:ascii="Calibri" w:hAnsi="Calibri"/>
                <w:b w:val="0"/>
                <w:i w:val="0"/>
                <w:sz w:val="19"/>
              </w:rPr>
              <w:t>Within 24–48 hours</w:t>
            </w:r>
          </w:p>
        </w:tc>
        <w:tc>
          <w:tcPr>
            <w:tcW w:type="dxa" w:w="2296"/>
            <w:shd w:val="clear" w:color="auto" w:fill="EEF0F2"/>
          </w:tcPr>
          <w:p>
            <w:pPr>
              <w:spacing w:after="60"/>
            </w:pPr>
            <w:r>
              <w:rPr>
                <w:sz w:val="19"/>
              </w:rPr>
            </w:r>
            <w:r>
              <w:rPr>
                <w:rFonts w:ascii="Calibri" w:hAnsi="Calibri"/>
                <w:b w:val="0"/>
                <w:i w:val="0"/>
                <w:sz w:val="19"/>
              </w:rPr>
              <w:t>Expeditiously; ordinarily within 15 days</w:t>
            </w:r>
          </w:p>
        </w:tc>
        <w:tc>
          <w:tcPr>
            <w:tcW w:type="dxa" w:w="2296"/>
            <w:shd w:val="clear" w:color="auto" w:fill="EEF0F2"/>
          </w:tcPr>
          <w:p>
            <w:pPr>
              <w:spacing w:after="60"/>
            </w:pPr>
            <w:r>
              <w:rPr>
                <w:sz w:val="19"/>
              </w:rPr>
            </w:r>
            <w:r>
              <w:rPr>
                <w:rFonts w:ascii="Calibri" w:hAnsi="Calibri"/>
                <w:b w:val="0"/>
                <w:i w:val="0"/>
                <w:sz w:val="19"/>
              </w:rPr>
              <w:t>IT Rules, 2021 due diligence</w:t>
            </w:r>
          </w:p>
        </w:tc>
      </w:tr>
      <w:tr>
        <w:tc>
          <w:tcPr>
            <w:tcW w:type="dxa" w:w="2296"/>
          </w:tcPr>
          <w:p>
            <w:pPr>
              <w:spacing w:after="60"/>
            </w:pPr>
            <w:r>
              <w:rPr>
                <w:sz w:val="19"/>
              </w:rPr>
            </w:r>
            <w:r>
              <w:rPr>
                <w:rFonts w:ascii="Calibri" w:hAnsi="Calibri"/>
                <w:b w:val="0"/>
                <w:i w:val="0"/>
                <w:sz w:val="19"/>
              </w:rPr>
              <w:t>Data-protection / privacy</w:t>
            </w:r>
          </w:p>
        </w:tc>
        <w:tc>
          <w:tcPr>
            <w:tcW w:type="dxa" w:w="2296"/>
          </w:tcPr>
          <w:p>
            <w:pPr>
              <w:spacing w:after="60"/>
            </w:pPr>
            <w:r>
              <w:rPr>
                <w:sz w:val="19"/>
              </w:rPr>
            </w:r>
            <w:r>
              <w:rPr>
                <w:rFonts w:ascii="Calibri" w:hAnsi="Calibri"/>
                <w:b w:val="0"/>
                <w:i w:val="0"/>
                <w:sz w:val="19"/>
              </w:rPr>
              <w:t>Promptly</w:t>
            </w:r>
          </w:p>
        </w:tc>
        <w:tc>
          <w:tcPr>
            <w:tcW w:type="dxa" w:w="2296"/>
          </w:tcPr>
          <w:p>
            <w:pPr>
              <w:spacing w:after="60"/>
            </w:pPr>
            <w:r>
              <w:rPr>
                <w:sz w:val="19"/>
              </w:rPr>
            </w:r>
            <w:r>
              <w:rPr>
                <w:rFonts w:ascii="Calibri" w:hAnsi="Calibri"/>
                <w:b w:val="0"/>
                <w:i w:val="0"/>
                <w:sz w:val="19"/>
              </w:rPr>
              <w:t>As promptly as practicable — see §8.3</w:t>
            </w:r>
          </w:p>
        </w:tc>
        <w:tc>
          <w:tcPr>
            <w:tcW w:type="dxa" w:w="2296"/>
          </w:tcPr>
          <w:p>
            <w:pPr>
              <w:spacing w:after="60"/>
            </w:pPr>
            <w:r>
              <w:rPr>
                <w:sz w:val="19"/>
              </w:rPr>
            </w:r>
            <w:r>
              <w:rPr>
                <w:rFonts w:ascii="Calibri" w:hAnsi="Calibri"/>
                <w:b w:val="0"/>
                <w:i w:val="0"/>
                <w:sz w:val="19"/>
              </w:rPr>
              <w:t>DPDP Act, 2023</w:t>
            </w:r>
          </w:p>
        </w:tc>
      </w:tr>
    </w:tbl>
    <w:p>
      <w:pPr>
        <w:spacing w:after="80"/>
      </w:pPr>
    </w:p>
    <w:p>
      <w:r>
        <w:rPr>
          <w:rFonts w:ascii="Calibri" w:hAnsi="Calibri"/>
          <w:b/>
          <w:i w:val="0"/>
          <w:color w:val="202C44"/>
        </w:rPr>
        <w:t>8.2</w:t>
      </w:r>
      <w:r>
        <w:rPr>
          <w:rFonts w:ascii="Calibri" w:hAnsi="Calibri"/>
          <w:b w:val="0"/>
          <w:i w:val="0"/>
        </w:rPr>
        <w:t xml:space="preserve"> Timelines run from the date and time a complete Grievance is received. Where a Grievance lacks essential information, we may request the missing details; the resolution period may be reasonably extended by the time taken by the Complainant to respond. Any extension and its reason will be communicated to the Complainant.</w:t>
      </w:r>
    </w:p>
    <w:p>
      <w:r>
        <w:rPr>
          <w:rFonts w:ascii="Calibri" w:hAnsi="Calibri"/>
          <w:b/>
          <w:i w:val="0"/>
          <w:color w:val="202C44"/>
        </w:rPr>
        <w:t>8.3</w:t>
      </w:r>
      <w:r>
        <w:rPr>
          <w:rFonts w:ascii="Calibri" w:hAnsi="Calibri"/>
          <w:b w:val="0"/>
          <w:i w:val="0"/>
        </w:rPr>
        <w:t xml:space="preserve"> The data-protection response period will be aligned to the period prescribed under the DPDP Act, 2023 and the rules made thereunder once finally notified; until then, we will respond as promptly as reasonably practicable.</w:t>
      </w:r>
    </w:p>
    <w:p>
      <w:pPr>
        <w:pStyle w:val="Heading1"/>
      </w:pPr>
      <w:r>
        <w:t>9. Specific Grievance Procedures</w:t>
      </w:r>
    </w:p>
    <w:p>
      <w:r>
        <w:rPr>
          <w:rFonts w:ascii="Calibri" w:hAnsi="Calibri"/>
          <w:b/>
          <w:i w:val="0"/>
          <w:color w:val="202C44"/>
        </w:rPr>
        <w:t>9.1 Objectionable or unlawful content.</w:t>
      </w:r>
      <w:r>
        <w:rPr>
          <w:rFonts w:ascii="Calibri" w:hAnsi="Calibri"/>
          <w:b w:val="0"/>
          <w:i w:val="0"/>
        </w:rPr>
        <w:t xml:space="preserve"> On a complaint that Content violates Rule 3(1)(b) of the IT Rules, 2021 or the Terms of Service, the Grievance Officer will review the Content and, where the complaint is valid, disable access to or remove it, and take account of the complaint history of the user concerned. On actual knowledge through a court order or notification by the appropriate government or its agency that Content is being used to commit an unlawful act, we will act expeditiously and in any event within the time permitted by law.</w:t>
      </w:r>
    </w:p>
    <w:p>
      <w:r>
        <w:rPr>
          <w:rFonts w:ascii="Calibri" w:hAnsi="Calibri"/>
          <w:b/>
          <w:i w:val="0"/>
          <w:color w:val="202C44"/>
        </w:rPr>
        <w:t>9.2 Sensitive content (24-hour).</w:t>
      </w:r>
      <w:r>
        <w:rPr>
          <w:rFonts w:ascii="Calibri" w:hAnsi="Calibri"/>
          <w:b w:val="0"/>
          <w:i w:val="0"/>
        </w:rPr>
        <w:t xml:space="preserve"> Where a Grievance relates to content in the nature described in Rule 3(2)(b) of the IT Rules, 2021 (broadly, content that exposes an individual's private area, shows nudity or a sexual act, or is in the nature of impersonation including artificially morphed images), we will take all reasonable and practicable measures to remove or disable access to such content within twenty-four (24) hours of receiving a valid complaint from the individual or a person acting on their behalf.</w:t>
      </w:r>
    </w:p>
    <w:p>
      <w:r>
        <w:rPr>
          <w:rFonts w:ascii="Calibri" w:hAnsi="Calibri"/>
          <w:b/>
          <w:i w:val="0"/>
          <w:color w:val="202C44"/>
        </w:rPr>
        <w:t>9.3 Intellectual-property takedown and counter-notice.</w:t>
      </w:r>
      <w:r>
        <w:rPr>
          <w:rFonts w:ascii="Calibri" w:hAnsi="Calibri"/>
          <w:b w:val="0"/>
          <w:i w:val="0"/>
        </w:rPr>
        <w:t xml:space="preserve"> A person alleging infringement of copyright or other IP rights should provide: (a) their name and contact details; (b) identification of the work claimed to be infringed; (c) identification and location of the allegedly infringing Content (e.g., Listing link/ID); (d) a good-faith statement that the use is not authorised; (e) a statement that the information is accurate and, under penalty of law, that they are the rights owner or authorised to act; and (f) their signature (physical or electronic). On a valid complaint, we may disable or remove the Content. The affected Seller may submit a counter-notice with evidence of their right to the Content, following which we may, at our discretion and where appropriate, restore the Content unless restoration is barred by law or a competent authority. Repeat infringers may be suspended or terminated.</w:t>
      </w:r>
    </w:p>
    <w:p>
      <w:r>
        <w:rPr>
          <w:rFonts w:ascii="Calibri" w:hAnsi="Calibri"/>
          <w:b/>
          <w:i w:val="0"/>
          <w:color w:val="202C44"/>
        </w:rPr>
        <w:t>9.4 Consumer and transaction complaints.</w:t>
      </w:r>
      <w:r>
        <w:rPr>
          <w:rFonts w:ascii="Calibri" w:hAnsi="Calibri"/>
          <w:b w:val="0"/>
          <w:i w:val="0"/>
        </w:rPr>
        <w:t xml:space="preserve"> Complaints about non-delivery, misdescription, or defective Creative Assets are assessed under the Terms of Service and the Refund &amp; Cancellation Policy. Where a third-party Seller is involved, we will facilitate communication between the Buyer and Seller and, where warranted, coordinate a remedy such as replacement or refund. We do not adopt any unfair trade practice in handling such complaints.</w:t>
      </w:r>
    </w:p>
    <w:p>
      <w:r>
        <w:rPr>
          <w:rFonts w:ascii="Calibri" w:hAnsi="Calibri"/>
          <w:b/>
          <w:i w:val="0"/>
          <w:color w:val="202C44"/>
        </w:rPr>
        <w:t>9.5 Payment and refund complaints.</w:t>
      </w:r>
      <w:r>
        <w:rPr>
          <w:rFonts w:ascii="Calibri" w:hAnsi="Calibri"/>
          <w:b w:val="0"/>
          <w:i w:val="0"/>
        </w:rPr>
        <w:t xml:space="preserve"> For failed, duplicate, or incorrect transactions, or refund requests, we will verify the transaction with the Payment Aggregator/Gateway (e.g., Razorpay) and, where a refund is due, process it to the original payment method within the Gateway's standard timelines. Where the Seller is a third party, a refund may be effected against the Seller's proceeds.</w:t>
      </w:r>
    </w:p>
    <w:p>
      <w:r>
        <w:rPr>
          <w:rFonts w:ascii="Calibri" w:hAnsi="Calibri"/>
          <w:b/>
          <w:i w:val="0"/>
          <w:color w:val="202C44"/>
        </w:rPr>
        <w:t>9.6 Data-protection and privacy grievances.</w:t>
      </w:r>
      <w:r>
        <w:rPr>
          <w:rFonts w:ascii="Calibri" w:hAnsi="Calibri"/>
          <w:b w:val="0"/>
          <w:i w:val="0"/>
        </w:rPr>
        <w:t xml:space="preserve"> A Data Principal may raise a grievance regarding the processing of their personal data — including requests to access, correct, update, or erase data, to withdraw consent, or to nominate — through the Grievance Officer. We will respond in accordance with the DPDP Act, 2023, our Privacy Policy, and the timeline in Clause 8, subject to lawful retention requirements. A Data Principal must exhaust this Mechanism before approaching the Data Protection Board of India.</w:t>
      </w:r>
    </w:p>
    <w:p>
      <w:pPr>
        <w:pStyle w:val="Heading1"/>
      </w:pPr>
      <w:r>
        <w:t>10. Escalation and Appeals</w:t>
      </w:r>
    </w:p>
    <w:p>
      <w:r>
        <w:rPr>
          <w:rFonts w:ascii="Calibri" w:hAnsi="Calibri"/>
          <w:b/>
          <w:i w:val="0"/>
          <w:color w:val="202C44"/>
        </w:rPr>
        <w:t>10.1</w:t>
      </w:r>
      <w:r>
        <w:rPr>
          <w:rFonts w:ascii="Calibri" w:hAnsi="Calibri"/>
          <w:b w:val="0"/>
          <w:i w:val="0"/>
        </w:rPr>
        <w:t xml:space="preserve"> If a Complainant is not satisfied with the decision of the Grievance Officer, or does not receive a response within the applicable timeline, the following escalation routes may be available, depending on the nature of the Grievance:</w:t>
      </w:r>
    </w:p>
    <w:p>
      <w:pPr>
        <w:pStyle w:val="ListBullet"/>
      </w:pPr>
      <w:r>
        <w:rPr>
          <w:rFonts w:ascii="Calibri" w:hAnsi="Calibri"/>
          <w:b/>
          <w:i w:val="0"/>
        </w:rPr>
        <w:t>Grievance Appellate Committee (GAC).</w:t>
      </w:r>
      <w:r>
        <w:rPr>
          <w:rFonts w:ascii="Calibri" w:hAnsi="Calibri"/>
          <w:b w:val="0"/>
          <w:i w:val="0"/>
        </w:rPr>
        <w:t xml:space="preserve"> For grievances concerning the Grievance Officer's decision on Content or account action under the IT Rules, 2021, an appeal may be preferred to a Grievance Appellate Committee constituted by the Central Government, ordinarily within thirty (30) days of the Grievance Officer's decision, through the online portal notified for this purpose.</w:t>
      </w:r>
    </w:p>
    <w:p>
      <w:pPr>
        <w:pStyle w:val="ListBullet"/>
      </w:pPr>
      <w:r>
        <w:rPr>
          <w:rFonts w:ascii="Calibri" w:hAnsi="Calibri"/>
          <w:b/>
          <w:i w:val="0"/>
        </w:rPr>
        <w:t>Consumer redressal forums.</w:t>
      </w:r>
      <w:r>
        <w:rPr>
          <w:rFonts w:ascii="Calibri" w:hAnsi="Calibri"/>
          <w:b w:val="0"/>
          <w:i w:val="0"/>
        </w:rPr>
        <w:t xml:space="preserve"> For consumer disputes, a Complainant may approach the District, State, or National Consumer Disputes Redressal Commission under the Consumer Protection Act, 2019, use the e-Daakhil portal, or contact the National Consumer Helpline (1915).</w:t>
      </w:r>
    </w:p>
    <w:p>
      <w:pPr>
        <w:pStyle w:val="ListBullet"/>
      </w:pPr>
      <w:r>
        <w:rPr>
          <w:rFonts w:ascii="Calibri" w:hAnsi="Calibri"/>
          <w:b/>
          <w:i w:val="0"/>
        </w:rPr>
        <w:t>Data Protection Board of India.</w:t>
      </w:r>
      <w:r>
        <w:rPr>
          <w:rFonts w:ascii="Calibri" w:hAnsi="Calibri"/>
          <w:b w:val="0"/>
          <w:i w:val="0"/>
        </w:rPr>
        <w:t xml:space="preserve"> For data-protection grievances not satisfactorily resolved, a Data Principal may make a complaint to the Data Protection Board of India under the DPDP Act, 2023, after exhausting this Mechanism.</w:t>
      </w:r>
    </w:p>
    <w:p>
      <w:pPr>
        <w:pStyle w:val="ListBullet"/>
      </w:pPr>
      <w:r>
        <w:rPr>
          <w:rFonts w:ascii="Calibri" w:hAnsi="Calibri"/>
          <w:b/>
          <w:i w:val="0"/>
        </w:rPr>
        <w:t>Courts and other authorities.</w:t>
      </w:r>
      <w:r>
        <w:rPr>
          <w:rFonts w:ascii="Calibri" w:hAnsi="Calibri"/>
          <w:b w:val="0"/>
          <w:i w:val="0"/>
        </w:rPr>
        <w:t xml:space="preserve"> A Complainant may pursue any other remedy available under law, including approaching the appropriate court or authority.</w:t>
      </w:r>
    </w:p>
    <w:p>
      <w:r>
        <w:rPr>
          <w:rFonts w:ascii="Calibri" w:hAnsi="Calibri"/>
          <w:b/>
          <w:i w:val="0"/>
          <w:color w:val="202C44"/>
        </w:rPr>
        <w:t>10.2</w:t>
      </w:r>
      <w:r>
        <w:rPr>
          <w:rFonts w:ascii="Calibri" w:hAnsi="Calibri"/>
          <w:b w:val="0"/>
          <w:i w:val="0"/>
        </w:rPr>
        <w:t xml:space="preserve"> Details of the applicable escalation route, including any online portal or contact, will be provided by the Grievance Officer on request or together with the decision.</w:t>
      </w:r>
    </w:p>
    <w:p>
      <w:pPr>
        <w:pStyle w:val="Heading1"/>
      </w:pPr>
      <w:r>
        <w:t>11. Records, Confidentiality, and Data Handling</w:t>
      </w:r>
    </w:p>
    <w:p>
      <w:r>
        <w:rPr>
          <w:rFonts w:ascii="Calibri" w:hAnsi="Calibri"/>
          <w:b/>
          <w:i w:val="0"/>
          <w:color w:val="202C44"/>
        </w:rPr>
        <w:t>11.1</w:t>
      </w:r>
      <w:r>
        <w:rPr>
          <w:rFonts w:ascii="Calibri" w:hAnsi="Calibri"/>
          <w:b w:val="0"/>
          <w:i w:val="0"/>
        </w:rPr>
        <w:t xml:space="preserve"> We maintain records of Grievances received and actions taken, including the reference number, category, dates of receipt / acknowledgement / disposal, and outcome, for such period as is required to demonstrate compliance and as permitted under applicable law.</w:t>
      </w:r>
    </w:p>
    <w:p>
      <w:r>
        <w:rPr>
          <w:rFonts w:ascii="Calibri" w:hAnsi="Calibri"/>
          <w:b/>
          <w:i w:val="0"/>
          <w:color w:val="202C44"/>
        </w:rPr>
        <w:t>11.2</w:t>
      </w:r>
      <w:r>
        <w:rPr>
          <w:rFonts w:ascii="Calibri" w:hAnsi="Calibri"/>
          <w:b w:val="0"/>
          <w:i w:val="0"/>
        </w:rPr>
        <w:t xml:space="preserve"> Personal data collected in connection with a Grievance is processed in accordance with our Privacy Policy and the DPDP Act, 2023, and is used only for handling the Grievance, meeting legal obligations, and improving the Platform's safety.</w:t>
      </w:r>
    </w:p>
    <w:p>
      <w:r>
        <w:rPr>
          <w:rFonts w:ascii="Calibri" w:hAnsi="Calibri"/>
          <w:b/>
          <w:i w:val="0"/>
          <w:color w:val="202C44"/>
        </w:rPr>
        <w:t>11.3</w:t>
      </w:r>
      <w:r>
        <w:rPr>
          <w:rFonts w:ascii="Calibri" w:hAnsi="Calibri"/>
          <w:b w:val="0"/>
          <w:i w:val="0"/>
        </w:rPr>
        <w:t xml:space="preserve"> We handle Grievances with reasonable confidentiality; however, we may disclose relevant information to the user or Seller concerned (to enable a response), to service providers, or to authorities where required by law or to protect rights and safety. Consistent with our privacy commitments, we do not disclose the full list of users who have blocked a given person.</w:t>
      </w:r>
    </w:p>
    <w:p>
      <w:pPr>
        <w:pStyle w:val="Heading1"/>
      </w:pPr>
      <w:r>
        <w:t>12. Misuse of the Mechanism</w:t>
      </w:r>
    </w:p>
    <w:p>
      <w:r>
        <w:rPr>
          <w:rFonts w:ascii="Calibri" w:hAnsi="Calibri"/>
          <w:b/>
          <w:i w:val="0"/>
          <w:color w:val="202C44"/>
        </w:rPr>
        <w:t>12.1</w:t>
      </w:r>
      <w:r>
        <w:rPr>
          <w:rFonts w:ascii="Calibri" w:hAnsi="Calibri"/>
          <w:b w:val="0"/>
          <w:i w:val="0"/>
        </w:rPr>
        <w:t xml:space="preserve"> Submitting false, frivolous, vexatious, or bad-faith Grievances, or misusing the Report/Block tools to harass others, is itself a violation of the Terms of Service. We may decline to act on, or may deprioritise, such Grievances, and may take action against the account responsible, including warnings, suspension, or termination, without prejudice to any other remedy available to us or to affected persons under law.</w:t>
      </w:r>
    </w:p>
    <w:p>
      <w:pPr>
        <w:pStyle w:val="Heading1"/>
      </w:pPr>
      <w:r>
        <w:t>13. Review and Amendment</w:t>
      </w:r>
    </w:p>
    <w:p>
      <w:r>
        <w:rPr>
          <w:rFonts w:ascii="Calibri" w:hAnsi="Calibri"/>
          <w:b/>
          <w:i w:val="0"/>
          <w:color w:val="202C44"/>
        </w:rPr>
        <w:t>13.1</w:t>
      </w:r>
      <w:r>
        <w:rPr>
          <w:rFonts w:ascii="Calibri" w:hAnsi="Calibri"/>
          <w:b w:val="0"/>
          <w:i w:val="0"/>
        </w:rPr>
        <w:t xml:space="preserve"> We may review and amend this Mechanism from time to time to reflect changes in law, regulatory guidance, or our processes. The current version, with the “Last Updated” date, will be published on the Platform. Material changes will be notified through the Platform or by other reasonable means. Continued use of the Platform after changes take effect constitutes acknowledgement of the revised Mechanism.</w:t>
      </w:r>
    </w:p>
    <w:p>
      <w:pPr>
        <w:pStyle w:val="Heading1"/>
      </w:pPr>
      <w:r>
        <w:t>14. Contact Summary</w:t>
      </w:r>
    </w:p>
    <w:p>
      <w:r>
        <w:rPr>
          <w:rFonts w:ascii="Calibri" w:hAnsi="Calibri"/>
          <w:b/>
          <w:i w:val="0"/>
          <w:color w:val="202C44"/>
        </w:rPr>
        <w:t>14.1</w:t>
      </w:r>
      <w:r>
        <w:rPr>
          <w:rFonts w:ascii="Calibri" w:hAnsi="Calibri"/>
          <w:b w:val="0"/>
          <w:i w:val="0"/>
        </w:rPr>
        <w:t xml:space="preserve"> For any Grievance or question about this Mechanism, please contact:</w:t>
      </w:r>
    </w:p>
    <w:p>
      <w:pPr>
        <w:pBdr>
          <w:left w:val="single" w:sz="6" w:space="6" w:color="C9C2AC"/>
          <w:right w:val="single" w:sz="6" w:space="6" w:color="C9C2AC"/>
          <w:top w:val="single" w:sz="6" w:space="6" w:color="C9C2AC"/>
        </w:pBdr>
        <w:shd w:val="clear" w:color="auto" w:fill="F4F3EF"/>
      </w:pPr>
      <w:r>
        <w:rPr>
          <w:b/>
          <w:color w:val="5C666D"/>
          <w:sz w:val="19"/>
        </w:rPr>
        <w:t xml:space="preserve">Grievance Officer:  </w:t>
      </w:r>
      <w:r>
        <w:rPr>
          <w:rFonts w:ascii="Calibri" w:hAnsi="Calibri"/>
          <w:b/>
          <w:i w:val="0"/>
          <w:sz w:val="20"/>
        </w:rPr>
        <w:t>Mr. Ansh Bhardwaj</w:t>
      </w:r>
      <w:r>
        <w:rPr>
          <w:rFonts w:ascii="Calibri" w:hAnsi="Calibri"/>
          <w:b w:val="0"/>
          <w:i w:val="0"/>
          <w:sz w:val="20"/>
        </w:rPr>
        <w:t xml:space="preserve"> — Founder, Kreate Studio</w:t>
      </w:r>
    </w:p>
    <w:p>
      <w:pPr>
        <w:pBdr>
          <w:left w:val="single" w:sz="6" w:space="6" w:color="C9C2AC"/>
          <w:right w:val="single" w:sz="6" w:space="6" w:color="C9C2AC"/>
        </w:pBdr>
        <w:shd w:val="clear" w:color="auto" w:fill="F4F3EF"/>
      </w:pPr>
      <w:r>
        <w:rPr>
          <w:b/>
          <w:color w:val="5C666D"/>
          <w:sz w:val="19"/>
        </w:rPr>
        <w:t xml:space="preserve">Grievance email:  </w:t>
      </w:r>
      <w:hyperlink r:id="rId11">
        <w:r>
          <w:rPr>
            <w:rFonts w:ascii="Calibri" w:hAnsi="Calibri"/>
            <w:color w:val="20437A"/>
            <w:u w:val="single"/>
          </w:rPr>
          <w:t xml:space="preserve">workwithansh8@gmail.com</w:t>
        </w:r>
      </w:hyperlink>
    </w:p>
    <w:p>
      <w:pPr>
        <w:pBdr>
          <w:left w:val="single" w:sz="6" w:space="6" w:color="C9C2AC"/>
          <w:right w:val="single" w:sz="6" w:space="6" w:color="C9C2AC"/>
        </w:pBdr>
        <w:shd w:val="clear" w:color="auto" w:fill="F4F3EF"/>
      </w:pPr>
      <w:r>
        <w:rPr>
          <w:b/>
          <w:color w:val="5C666D"/>
          <w:sz w:val="19"/>
        </w:rPr>
        <w:t xml:space="preserve">General support:  </w:t>
      </w:r>
      <w:hyperlink r:id="rId11">
        <w:r>
          <w:rPr>
            <w:rFonts w:ascii="Calibri" w:hAnsi="Calibri"/>
            <w:color w:val="20437A"/>
            <w:u w:val="single"/>
          </w:rPr>
          <w:t xml:space="preserve">workwithansh8@gmail.com</w:t>
        </w:r>
      </w:hyperlink>
    </w:p>
    <w:p>
      <w:pPr>
        <w:pBdr>
          <w:left w:val="single" w:sz="6" w:space="6" w:color="C9C2AC"/>
          <w:right w:val="single" w:sz="6" w:space="6" w:color="C9C2AC"/>
        </w:pBdr>
        <w:shd w:val="clear" w:color="auto" w:fill="F4F3EF"/>
      </w:pPr>
      <w:r>
        <w:rPr>
          <w:b/>
          <w:color w:val="5C666D"/>
          <w:sz w:val="19"/>
        </w:rPr>
        <w:t xml:space="preserve">Working hours:  </w:t>
      </w:r>
      <w:r>
        <w:rPr>
          <w:rFonts w:ascii="Calibri" w:hAnsi="Calibri"/>
          <w:b w:val="0"/>
          <w:i w:val="0"/>
          <w:sz w:val="20"/>
        </w:rPr>
        <w:t>Monday to Friday, 10:00 to 18:00 IST</w:t>
      </w:r>
    </w:p>
    <w:p>
      <w:pPr>
        <w:pBdr>
          <w:left w:val="single" w:sz="6" w:space="6" w:color="C9C2AC"/>
          <w:right w:val="single" w:sz="6" w:space="6" w:color="C9C2AC"/>
          <w:bottom w:val="single" w:sz="6" w:space="6" w:color="C9C2AC"/>
        </w:pBdr>
        <w:shd w:val="clear" w:color="auto" w:fill="F4F3EF"/>
        <w:spacing w:after="200"/>
      </w:pPr>
      <w:r>
        <w:rPr>
          <w:b/>
          <w:color w:val="5C666D"/>
          <w:sz w:val="19"/>
        </w:rPr>
        <w:t xml:space="preserve">Postal address:  </w:t>
      </w:r>
      <w:r>
        <w:rPr>
          <w:rFonts w:ascii="Calibri" w:hAnsi="Calibri"/>
          <w:b w:val="0"/>
          <w:i w:val="0"/>
          <w:sz w:val="20"/>
        </w:rPr>
        <w:t>Agra, Uttar Pradesh, India</w:t>
      </w:r>
    </w:p>
    <w:p>
      <w:pPr>
        <w:pStyle w:val="Heading1"/>
      </w:pPr>
      <w:r>
        <w:t>A. Annexure A — Grievance Submission Template</w:t>
      </w:r>
    </w:p>
    <w:p>
      <w:r>
        <w:rPr>
          <w:rFonts w:ascii="Calibri" w:hAnsi="Calibri"/>
          <w:b w:val="0"/>
          <w:i w:val="0"/>
        </w:rPr>
        <w:t>A Complainant may use the following template when submitting a Grievance by email or post. Fields marked (required) should always be completed.</w:t>
      </w:r>
    </w:p>
    <w:p>
      <w:pPr>
        <w:pBdr>
          <w:left w:val="single" w:sz="6" w:space="6" w:color="C9C2AC"/>
          <w:right w:val="single" w:sz="6" w:space="6" w:color="C9C2AC"/>
          <w:top w:val="single" w:sz="6" w:space="6" w:color="C9C2AC"/>
        </w:pBdr>
        <w:shd w:val="clear" w:color="auto" w:fill="F4F3EF"/>
      </w:pPr>
      <w:r>
        <w:rPr>
          <w:b/>
          <w:color w:val="5C666D"/>
          <w:sz w:val="19"/>
        </w:rPr>
        <w:t xml:space="preserve">Complainant name:  </w:t>
      </w:r>
      <w:r>
        <w:rPr>
          <w:rFonts w:ascii="Calibri" w:hAnsi="Calibri"/>
          <w:b w:val="0"/>
          <w:i w:val="0"/>
          <w:sz w:val="20"/>
        </w:rPr>
        <w:t>(required)</w:t>
      </w:r>
    </w:p>
    <w:p>
      <w:pPr>
        <w:pBdr>
          <w:left w:val="single" w:sz="6" w:space="6" w:color="C9C2AC"/>
          <w:right w:val="single" w:sz="6" w:space="6" w:color="C9C2AC"/>
        </w:pBdr>
        <w:shd w:val="clear" w:color="auto" w:fill="F4F3EF"/>
      </w:pPr>
      <w:r>
        <w:rPr>
          <w:b/>
          <w:color w:val="5C666D"/>
          <w:sz w:val="19"/>
        </w:rPr>
        <w:t xml:space="preserve">Email / postal address:  </w:t>
      </w:r>
      <w:r>
        <w:rPr>
          <w:rFonts w:ascii="Calibri" w:hAnsi="Calibri"/>
          <w:b w:val="0"/>
          <w:i w:val="0"/>
          <w:sz w:val="20"/>
        </w:rPr>
        <w:t>(required)</w:t>
      </w:r>
    </w:p>
    <w:p>
      <w:pPr>
        <w:pBdr>
          <w:left w:val="single" w:sz="6" w:space="6" w:color="C9C2AC"/>
          <w:right w:val="single" w:sz="6" w:space="6" w:color="C9C2AC"/>
        </w:pBdr>
        <w:shd w:val="clear" w:color="auto" w:fill="F4F3EF"/>
      </w:pPr>
      <w:r>
        <w:rPr>
          <w:b/>
          <w:color w:val="5C666D"/>
          <w:sz w:val="19"/>
        </w:rPr>
        <w:t xml:space="preserve">Affected person, or acting on their behalf?:  </w:t>
      </w:r>
      <w:r>
        <w:rPr>
          <w:rFonts w:ascii="Calibri" w:hAnsi="Calibri"/>
          <w:b w:val="0"/>
          <w:i w:val="0"/>
          <w:sz w:val="20"/>
        </w:rPr>
        <w:t>(required)</w:t>
      </w:r>
    </w:p>
    <w:p>
      <w:pPr>
        <w:pBdr>
          <w:left w:val="single" w:sz="6" w:space="6" w:color="C9C2AC"/>
          <w:right w:val="single" w:sz="6" w:space="6" w:color="C9C2AC"/>
        </w:pBdr>
        <w:shd w:val="clear" w:color="auto" w:fill="F4F3EF"/>
      </w:pPr>
      <w:r>
        <w:rPr>
          <w:b/>
          <w:color w:val="5C666D"/>
          <w:sz w:val="19"/>
        </w:rPr>
        <w:t xml:space="preserve">Grievance category:  </w:t>
      </w:r>
      <w:r>
        <w:rPr>
          <w:rFonts w:ascii="Calibri" w:hAnsi="Calibri"/>
          <w:b w:val="0"/>
          <w:i w:val="0"/>
          <w:sz w:val="20"/>
        </w:rPr>
        <w:t>See Clause 5 (required)</w:t>
      </w:r>
    </w:p>
    <w:p>
      <w:pPr>
        <w:pBdr>
          <w:left w:val="single" w:sz="6" w:space="6" w:color="C9C2AC"/>
          <w:right w:val="single" w:sz="6" w:space="6" w:color="C9C2AC"/>
        </w:pBdr>
        <w:shd w:val="clear" w:color="auto" w:fill="F4F3EF"/>
      </w:pPr>
      <w:r>
        <w:rPr>
          <w:b/>
          <w:color w:val="5C666D"/>
          <w:sz w:val="19"/>
        </w:rPr>
        <w:t xml:space="preserve">Description of the grievance:  </w:t>
      </w:r>
      <w:r>
        <w:rPr>
          <w:rFonts w:ascii="Calibri" w:hAnsi="Calibri"/>
          <w:b w:val="0"/>
          <w:i w:val="0"/>
          <w:sz w:val="20"/>
        </w:rPr>
        <w:t>(required) — describe what happened in as much detail as possible</w:t>
      </w:r>
    </w:p>
    <w:p>
      <w:pPr>
        <w:pBdr>
          <w:left w:val="single" w:sz="6" w:space="6" w:color="C9C2AC"/>
          <w:right w:val="single" w:sz="6" w:space="6" w:color="C9C2AC"/>
        </w:pBdr>
        <w:shd w:val="clear" w:color="auto" w:fill="F4F3EF"/>
      </w:pPr>
      <w:r>
        <w:rPr>
          <w:b/>
          <w:color w:val="5C666D"/>
          <w:sz w:val="19"/>
        </w:rPr>
        <w:t xml:space="preserve">Listing / order / username:  </w:t>
      </w:r>
      <w:r>
        <w:rPr>
          <w:rFonts w:ascii="Calibri" w:hAnsi="Calibri"/>
          <w:b w:val="0"/>
          <w:i w:val="0"/>
          <w:sz w:val="20"/>
        </w:rPr>
        <w:t>Relevant Listing link or ID, order / payment ID, or username, if applicable</w:t>
      </w:r>
    </w:p>
    <w:p>
      <w:pPr>
        <w:pBdr>
          <w:left w:val="single" w:sz="6" w:space="6" w:color="C9C2AC"/>
          <w:right w:val="single" w:sz="6" w:space="6" w:color="C9C2AC"/>
        </w:pBdr>
        <w:shd w:val="clear" w:color="auto" w:fill="F4F3EF"/>
      </w:pPr>
      <w:r>
        <w:rPr>
          <w:b/>
          <w:color w:val="5C666D"/>
          <w:sz w:val="19"/>
        </w:rPr>
        <w:t xml:space="preserve">For IP complaints:  </w:t>
      </w:r>
      <w:r>
        <w:rPr>
          <w:rFonts w:ascii="Calibri" w:hAnsi="Calibri"/>
          <w:b w:val="0"/>
          <w:i w:val="0"/>
          <w:sz w:val="20"/>
        </w:rPr>
        <w:t>Identification of the work, ownership/authority statement, and signature</w:t>
      </w:r>
    </w:p>
    <w:p>
      <w:pPr>
        <w:pBdr>
          <w:left w:val="single" w:sz="6" w:space="6" w:color="C9C2AC"/>
          <w:right w:val="single" w:sz="6" w:space="6" w:color="C9C2AC"/>
        </w:pBdr>
        <w:shd w:val="clear" w:color="auto" w:fill="F4F3EF"/>
      </w:pPr>
      <w:r>
        <w:rPr>
          <w:b/>
          <w:color w:val="5C666D"/>
          <w:sz w:val="19"/>
        </w:rPr>
        <w:t xml:space="preserve">Supporting evidence:  </w:t>
      </w:r>
      <w:r>
        <w:rPr>
          <w:rFonts w:ascii="Calibri" w:hAnsi="Calibri"/>
          <w:b w:val="0"/>
          <w:i w:val="0"/>
          <w:sz w:val="20"/>
        </w:rPr>
        <w:t>Attach screenshots, links, or documents</w:t>
      </w:r>
    </w:p>
    <w:p>
      <w:pPr>
        <w:pBdr>
          <w:left w:val="single" w:sz="6" w:space="6" w:color="C9C2AC"/>
          <w:right w:val="single" w:sz="6" w:space="6" w:color="C9C2AC"/>
        </w:pBdr>
        <w:shd w:val="clear" w:color="auto" w:fill="F4F3EF"/>
      </w:pPr>
      <w:r>
        <w:rPr>
          <w:b/>
          <w:color w:val="5C666D"/>
          <w:sz w:val="19"/>
        </w:rPr>
        <w:t xml:space="preserve">Outcome sought:  </w:t>
      </w:r>
      <w:r>
        <w:rPr>
          <w:rFonts w:ascii="Calibri" w:hAnsi="Calibri"/>
          <w:b w:val="0"/>
          <w:i w:val="0"/>
          <w:sz w:val="20"/>
        </w:rPr>
        <w:t>The remedy you are seeking</w:t>
      </w:r>
    </w:p>
    <w:p>
      <w:pPr>
        <w:pBdr>
          <w:left w:val="single" w:sz="6" w:space="6" w:color="C9C2AC"/>
          <w:right w:val="single" w:sz="6" w:space="6" w:color="C9C2AC"/>
          <w:bottom w:val="single" w:sz="6" w:space="6" w:color="C9C2AC"/>
        </w:pBdr>
        <w:shd w:val="clear" w:color="auto" w:fill="F4F3EF"/>
        <w:spacing w:after="200"/>
      </w:pPr>
      <w:r>
        <w:rPr>
          <w:b/>
          <w:color w:val="5C666D"/>
          <w:sz w:val="19"/>
        </w:rPr>
        <w:t xml:space="preserve">Date:  </w:t>
      </w:r>
      <w:r>
        <w:rPr>
          <w:rFonts w:ascii="Calibri" w:hAnsi="Calibri"/>
          <w:b w:val="0"/>
          <w:i w:val="0"/>
          <w:sz w:val="20"/>
        </w:rPr>
        <w:t>—</w:t>
      </w:r>
    </w:p>
    <w:sectPr w:rsidR="00FC693F" w:rsidRPr="0006063C" w:rsidSect="00034616">
      <w:headerReference w:type="default" r:id="rId9"/>
      <w:footerReference w:type="default" r:id="rId10"/>
      <w:pgSz w:w="11906" w:h="16838"/>
      <w:pgMar w:top="1361" w:right="1361" w:bottom="1247" w:left="1361" w:header="624"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7"/>
      </w:rPr>
      <w:t xml:space="preserve">Page </w:t>
    </w:r>
    <w:r>
      <w:fldChar w:fldCharType="begin"/>
    </w:r>
    <w:r>
      <w:instrText xml:space="preserve">PAGE</w:instrText>
    </w:r>
    <w:r>
      <w:fldChar w:fldCharType="end"/>
    </w:r>
    <w:r>
      <w:rPr>
        <w:sz w:val="17"/>
      </w:rPr>
      <w:t xml:space="preserve"> of </w:t>
    </w:r>
    <w:r>
      <w:fldChar w:fldCharType="begin"/>
    </w:r>
    <w:r>
      <w:instrText xml:space="preserve">NUMPAGES</w:instrText>
    </w:r>
    <w:r>
      <w:fldChar w:fldCharType="end"/>
    </w:r>
    <w:r>
      <w:rPr>
        <w:color w:val="5C666D"/>
        <w:sz w:val="15"/>
      </w:rPr>
      <w:t xml:space="preserve">    ·   Kreate Studio — not legal advice; see full disclaimer at the front of this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8DBDF"/>
      </w:pBdr>
    </w:pPr>
    <w:r/>
    <w:r>
      <w:rPr>
        <w:rFonts w:ascii="Calibri" w:hAnsi="Calibri"/>
        <w:b/>
        <w:color w:val="202C44"/>
        <w:sz w:val="17"/>
      </w:rPr>
      <w:t>KREATE STUDIO</w:t>
    </w:r>
    <w:r>
      <w:rPr>
        <w:rFonts w:ascii="Calibri" w:hAnsi="Calibri"/>
        <w:color w:val="5C666D"/>
        <w:sz w:val="17"/>
      </w:rPr>
      <w:t xml:space="preserve">   ·   Grievance Redressal Mechanism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color w:val="1113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60"/>
      <w:outlineLvl w:val="0"/>
    </w:pPr>
    <w:rPr>
      <w:rFonts w:asciiTheme="majorHAnsi" w:eastAsiaTheme="majorEastAsia" w:hAnsiTheme="majorHAnsi" w:cstheme="majorBidi" w:ascii="Calibri" w:hAnsi="Calibri"/>
      <w:b/>
      <w:bCs/>
      <w:color w:val="202C44"/>
      <w:sz w:val="3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i w:val="0"/>
      <w:color w:val="8A743C"/>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mailto:workwithansh8@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