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120" w:before="0"/>
      </w:pPr>
      <w:r>
        <w:rPr>
          <w:rFonts w:ascii="IBM Plex Mono" w:cs="IBM Plex Mono" w:eastAsia="IBM Plex Mono" w:hAnsi="IBM Plex Mono"/>
          <w:caps/>
          <w:color w:val="5F6168"/>
          <w:spacing w:val="6"/>
          <w:sz w:val="15"/>
          <w:szCs w:val="15"/>
        </w:rPr>
        <w:t xml:space="preserve">Plano de manutenção</w:t>
      </w:r>
    </w:p>
    <w:p>
      <w:pPr>
        <w:pStyle w:val="Title"/>
        <w:spacing w:after="360"/>
      </w:pPr>
      <w:r>
        <w:rPr>
          <w:rFonts w:ascii="IBM Plex Sans" w:cs="IBM Plex Sans" w:eastAsia="IBM Plex Sans" w:hAnsi="IBM Plex Sans"/>
          <w:b/>
          <w:bCs/>
          <w:color w:val="5F6168"/>
          <w:sz w:val="44"/>
          <w:szCs w:val="44"/>
        </w:rPr>
        <w:t xml:space="preserve">[Nome do sistema]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Sistema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[Nome do sistema]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Cliente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[NOME DO CLIENTE]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Data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[DD/MM/AAAA]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Versão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Sans" w:cs="IBM Plex Sans" w:eastAsia="IBM Plex Sans" w:hAnsi="IBM Plex Sans"/>
                <w:color w:val="17181A"/>
              </w:rPr>
              <w:t xml:space="preserve">01</w:t>
            </w:r>
          </w:p>
        </w:tc>
      </w:tr>
    </w:tbl>
    <w:p>
      <w:pPr>
        <w:spacing w:after="120"/>
      </w:pPr>
    </w:p>
    <w:p>
      <w:pPr>
        <w:pStyle w:val="Heading1"/>
        <w:keepNext/>
        <w:keepLines/>
        <w:pBdr>
          <w:top w:val="single" w:color="17181A" w:sz="6" w:space="8"/>
        </w:pBdr>
        <w:spacing w:after="200" w:before="480"/>
      </w:pPr>
      <w:r>
        <w:rPr>
          <w:rFonts w:ascii="IBM Plex Mono" w:cs="IBM Plex Mono" w:eastAsia="IBM Plex Mono" w:hAnsi="IBM Plex Mono"/>
          <w:color w:val="5F6168"/>
          <w:sz w:val="17"/>
          <w:szCs w:val="17"/>
        </w:rPr>
        <w:t xml:space="preserve">01 / </w:t>
      </w:r>
      <w:r>
        <w:rPr>
          <w:rFonts w:ascii="IBM Plex Sans" w:cs="IBM Plex Sans" w:eastAsia="IBM Plex Sans" w:hAnsi="IBM Plex Sans"/>
          <w:b/>
          <w:bCs/>
          <w:color w:val="17181A"/>
          <w:sz w:val="26"/>
          <w:szCs w:val="26"/>
        </w:rPr>
        <w:t xml:space="preserve">Escopo da manutenção</w:t>
      </w:r>
    </w:p>
    <w:p>
      <w:pPr>
        <w:spacing w:after="120" w:before="0"/>
      </w:pPr>
      <w:r>
        <w:rPr>
          <w:rFonts w:ascii="IBM Plex Sans" w:cs="IBM Plex Sans" w:eastAsia="IBM Plex Sans" w:hAnsi="IBM Plex Sans"/>
          <w:color w:val="5F6168"/>
        </w:rPr>
        <w:t xml:space="preserve">[Quais partes do sistema estão cobertas por este plano.]</w:t>
      </w:r>
    </w:p>
    <w:p>
      <w:pPr>
        <w:pStyle w:val="Heading1"/>
        <w:keepNext/>
        <w:keepLines/>
        <w:pBdr>
          <w:top w:val="single" w:color="17181A" w:sz="6" w:space="8"/>
        </w:pBdr>
        <w:spacing w:after="200" w:before="480"/>
      </w:pPr>
      <w:r>
        <w:rPr>
          <w:rFonts w:ascii="IBM Plex Mono" w:cs="IBM Plex Mono" w:eastAsia="IBM Plex Mono" w:hAnsi="IBM Plex Mono"/>
          <w:color w:val="5F6168"/>
          <w:sz w:val="17"/>
          <w:szCs w:val="17"/>
        </w:rPr>
        <w:t xml:space="preserve">02 / </w:t>
      </w:r>
      <w:r>
        <w:rPr>
          <w:rFonts w:ascii="IBM Plex Sans" w:cs="IBM Plex Sans" w:eastAsia="IBM Plex Sans" w:hAnsi="IBM Plex Sans"/>
          <w:b/>
          <w:bCs/>
          <w:color w:val="17181A"/>
          <w:sz w:val="26"/>
          <w:szCs w:val="26"/>
        </w:rPr>
        <w:t xml:space="preserve">Incluído</w:t>
      </w:r>
    </w:p>
    <w:p>
      <w:pPr>
        <w:spacing w:after="120" w:before="0"/>
      </w:pPr>
      <w:r>
        <w:rPr>
          <w:rFonts w:ascii="IBM Plex Sans" w:cs="IBM Plex Sans" w:eastAsia="IBM Plex Sans" w:hAnsi="IBM Plex Sans"/>
          <w:color w:val="5F6168"/>
        </w:rPr>
        <w:t xml:space="preserve">Marque o que se aplica a este plano.</w:t>
      </w:r>
    </w:p>
    <w:p>
      <w:pPr>
        <w:spacing w:after="80"/>
      </w:pPr>
      <w:r>
        <w:rPr>
          <w:rFonts w:ascii="Segoe UI Symbol" w:cs="Segoe UI Symbol" w:eastAsia="Segoe UI Symbol" w:hAnsi="Segoe UI Symbol"/>
          <w:color w:val="17181A"/>
          <w:sz w:val="20"/>
          <w:szCs w:val="20"/>
        </w:rPr>
        <w:t xml:space="preserve">☐</w:t>
      </w:r>
      <w:r>
        <w:rPr>
          <w:rFonts w:ascii="IBM Plex Sans" w:cs="IBM Plex Sans" w:eastAsia="IBM Plex Sans" w:hAnsi="IBM Plex Sans"/>
          <w:color w:val="17181A"/>
        </w:rPr>
        <w:t xml:space="preserve"> Correções de erros</w:t>
      </w:r>
    </w:p>
    <w:p>
      <w:pPr>
        <w:spacing w:after="80"/>
      </w:pPr>
      <w:r>
        <w:rPr>
          <w:rFonts w:ascii="Segoe UI Symbol" w:cs="Segoe UI Symbol" w:eastAsia="Segoe UI Symbol" w:hAnsi="Segoe UI Symbol"/>
          <w:color w:val="17181A"/>
          <w:sz w:val="20"/>
          <w:szCs w:val="20"/>
        </w:rPr>
        <w:t xml:space="preserve">☐</w:t>
      </w:r>
      <w:r>
        <w:rPr>
          <w:rFonts w:ascii="IBM Plex Sans" w:cs="IBM Plex Sans" w:eastAsia="IBM Plex Sans" w:hAnsi="IBM Plex Sans"/>
          <w:color w:val="17181A"/>
        </w:rPr>
        <w:t xml:space="preserve"> Suporte técnico: </w:t>
      </w:r>
      <w:r>
        <w:rPr>
          <w:rFonts w:ascii="IBM Plex Sans" w:cs="IBM Plex Sans" w:eastAsia="IBM Plex Sans" w:hAnsi="IBM Plex Sans"/>
          <w:color w:val="5F6168"/>
        </w:rPr>
        <w:t xml:space="preserve">[canal e horário]</w:t>
      </w:r>
    </w:p>
    <w:p>
      <w:pPr>
        <w:spacing w:after="80"/>
      </w:pPr>
      <w:r>
        <w:rPr>
          <w:rFonts w:ascii="Segoe UI Symbol" w:cs="Segoe UI Symbol" w:eastAsia="Segoe UI Symbol" w:hAnsi="Segoe UI Symbol"/>
          <w:color w:val="17181A"/>
          <w:sz w:val="20"/>
          <w:szCs w:val="20"/>
        </w:rPr>
        <w:t xml:space="preserve">☐</w:t>
      </w:r>
      <w:r>
        <w:rPr>
          <w:rFonts w:ascii="IBM Plex Sans" w:cs="IBM Plex Sans" w:eastAsia="IBM Plex Sans" w:hAnsi="IBM Plex Sans"/>
          <w:color w:val="17181A"/>
        </w:rPr>
        <w:t xml:space="preserve"> Pequenas evoluções: </w:t>
      </w:r>
      <w:r>
        <w:rPr>
          <w:rFonts w:ascii="IBM Plex Sans" w:cs="IBM Plex Sans" w:eastAsia="IBM Plex Sans" w:hAnsi="IBM Plex Sans"/>
          <w:color w:val="5F6168"/>
        </w:rPr>
        <w:t xml:space="preserve">[limite por mês]</w:t>
      </w:r>
    </w:p>
    <w:p>
      <w:pPr>
        <w:spacing w:after="80"/>
      </w:pPr>
      <w:r>
        <w:rPr>
          <w:rFonts w:ascii="Segoe UI Symbol" w:cs="Segoe UI Symbol" w:eastAsia="Segoe UI Symbol" w:hAnsi="Segoe UI Symbol"/>
          <w:color w:val="17181A"/>
          <w:sz w:val="20"/>
          <w:szCs w:val="20"/>
        </w:rPr>
        <w:t xml:space="preserve">☐</w:t>
      </w:r>
      <w:r>
        <w:rPr>
          <w:rFonts w:ascii="IBM Plex Sans" w:cs="IBM Plex Sans" w:eastAsia="IBM Plex Sans" w:hAnsi="IBM Plex Sans"/>
          <w:color w:val="17181A"/>
        </w:rPr>
        <w:t xml:space="preserve"> Monitoramento: </w:t>
      </w:r>
      <w:r>
        <w:rPr>
          <w:rFonts w:ascii="IBM Plex Sans" w:cs="IBM Plex Sans" w:eastAsia="IBM Plex Sans" w:hAnsi="IBM Plex Sans"/>
          <w:color w:val="5F6168"/>
        </w:rPr>
        <w:t xml:space="preserve">[quando aplicável]</w:t>
      </w:r>
    </w:p>
    <w:p>
      <w:pPr>
        <w:spacing w:after="80"/>
      </w:pPr>
      <w:r>
        <w:rPr>
          <w:rFonts w:ascii="Segoe UI Symbol" w:cs="Segoe UI Symbol" w:eastAsia="Segoe UI Symbol" w:hAnsi="Segoe UI Symbol"/>
          <w:color w:val="17181A"/>
          <w:sz w:val="20"/>
          <w:szCs w:val="20"/>
        </w:rPr>
        <w:t xml:space="preserve">☐</w:t>
      </w:r>
      <w:r>
        <w:rPr>
          <w:rFonts w:ascii="IBM Plex Sans" w:cs="IBM Plex Sans" w:eastAsia="IBM Plex Sans" w:hAnsi="IBM Plex Sans"/>
          <w:color w:val="17181A"/>
        </w:rPr>
        <w:t xml:space="preserve"> Atualizações de dependências e segurança</w:t>
      </w:r>
    </w:p>
    <w:p>
      <w:pPr>
        <w:spacing w:after="80"/>
      </w:pPr>
      <w:r>
        <w:rPr>
          <w:rFonts w:ascii="Segoe UI Symbol" w:cs="Segoe UI Symbol" w:eastAsia="Segoe UI Symbol" w:hAnsi="Segoe UI Symbol"/>
          <w:color w:val="17181A"/>
          <w:sz w:val="20"/>
          <w:szCs w:val="20"/>
        </w:rPr>
        <w:t xml:space="preserve">☐</w:t>
      </w:r>
      <w:r>
        <w:rPr>
          <w:rFonts w:ascii="IBM Plex Sans" w:cs="IBM Plex Sans" w:eastAsia="IBM Plex Sans" w:hAnsi="IBM Plex Sans"/>
          <w:color w:val="17181A"/>
        </w:rPr>
        <w:t xml:space="preserve"> </w:t>
      </w:r>
      <w:r>
        <w:rPr>
          <w:rFonts w:ascii="IBM Plex Sans" w:cs="IBM Plex Sans" w:eastAsia="IBM Plex Sans" w:hAnsi="IBM Plex Sans"/>
          <w:color w:val="5F6168"/>
        </w:rPr>
        <w:t xml:space="preserve">[Outro item]</w:t>
      </w:r>
    </w:p>
    <w:p>
      <w:pPr>
        <w:pStyle w:val="Heading1"/>
        <w:keepNext/>
        <w:keepLines/>
        <w:pBdr>
          <w:top w:val="single" w:color="17181A" w:sz="6" w:space="8"/>
        </w:pBdr>
        <w:spacing w:after="200" w:before="480"/>
      </w:pPr>
      <w:r>
        <w:rPr>
          <w:rFonts w:ascii="IBM Plex Mono" w:cs="IBM Plex Mono" w:eastAsia="IBM Plex Mono" w:hAnsi="IBM Plex Mono"/>
          <w:color w:val="5F6168"/>
          <w:sz w:val="17"/>
          <w:szCs w:val="17"/>
        </w:rPr>
        <w:t xml:space="preserve">03 / </w:t>
      </w:r>
      <w:r>
        <w:rPr>
          <w:rFonts w:ascii="IBM Plex Sans" w:cs="IBM Plex Sans" w:eastAsia="IBM Plex Sans" w:hAnsi="IBM Plex Sans"/>
          <w:b/>
          <w:bCs/>
          <w:color w:val="17181A"/>
          <w:sz w:val="26"/>
          <w:szCs w:val="26"/>
        </w:rPr>
        <w:t xml:space="preserve">Não incluído</w:t>
      </w:r>
    </w:p>
    <w:p>
      <w:pPr>
        <w:spacing w:after="120" w:before="0"/>
      </w:pPr>
      <w:r>
        <w:rPr>
          <w:rFonts w:ascii="IBM Plex Sans" w:cs="IBM Plex Sans" w:eastAsia="IBM Plex Sans" w:hAnsi="IBM Plex Sans"/>
          <w:color w:val="17181A"/>
        </w:rPr>
        <w:t xml:space="preserve">Projetos ou módulos novos que exijam novo escopo. Eles seguem o processo da seção 07 e recebem orçamento próprio.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BM Plex Sans" w:cs="IBM Plex Sans" w:eastAsia="IBM Plex Sans" w:hAnsi="IBM Plex Sans"/>
          <w:color w:val="5F6168"/>
        </w:rPr>
        <w:t xml:space="preserve">[Outro item não incluído]</w:t>
      </w:r>
    </w:p>
    <w:p>
      <w:pPr>
        <w:pStyle w:val="Heading1"/>
        <w:keepNext/>
        <w:keepLines/>
        <w:pBdr>
          <w:top w:val="single" w:color="17181A" w:sz="6" w:space="8"/>
        </w:pBdr>
        <w:spacing w:after="200" w:before="480"/>
      </w:pPr>
      <w:r>
        <w:rPr>
          <w:rFonts w:ascii="IBM Plex Mono" w:cs="IBM Plex Mono" w:eastAsia="IBM Plex Mono" w:hAnsi="IBM Plex Mono"/>
          <w:color w:val="5F6168"/>
          <w:sz w:val="17"/>
          <w:szCs w:val="17"/>
        </w:rPr>
        <w:t xml:space="preserve">04 / </w:t>
      </w:r>
      <w:r>
        <w:rPr>
          <w:rFonts w:ascii="IBM Plex Sans" w:cs="IBM Plex Sans" w:eastAsia="IBM Plex Sans" w:hAnsi="IBM Plex Sans"/>
          <w:b/>
          <w:bCs/>
          <w:color w:val="17181A"/>
          <w:sz w:val="26"/>
          <w:szCs w:val="26"/>
        </w:rPr>
        <w:t xml:space="preserve">SLA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00"/>
        <w:gridCol w:w="3019"/>
        <w:gridCol w:w="3019"/>
      </w:tblGrid>
      <w:tr>
        <w:trPr>
          <w:cantSplit/>
          <w:tblHeader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17181A" w:sz="6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Tipo de chamado</w:t>
            </w:r>
          </w:p>
        </w:tc>
        <w:tc>
          <w:tcPr>
            <w:tcW w:type="dxa" w:w="3019"/>
            <w:tcBorders>
              <w:top w:val="none" w:color="FFFFFF" w:sz="0"/>
              <w:left w:val="none" w:color="FFFFFF" w:sz="0"/>
              <w:bottom w:val="single" w:color="17181A" w:sz="6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Primeira resposta</w:t>
            </w:r>
          </w:p>
        </w:tc>
        <w:tc>
          <w:tcPr>
            <w:tcW w:type="dxa" w:w="3019"/>
            <w:tcBorders>
              <w:top w:val="none" w:color="FFFFFF" w:sz="0"/>
              <w:left w:val="none" w:color="FFFFFF" w:sz="0"/>
              <w:bottom w:val="single" w:color="17181A" w:sz="6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Solução ou plano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[Crítico]</w:t>
            </w:r>
          </w:p>
        </w:tc>
        <w:tc>
          <w:tcPr>
            <w:tcW w:type="dxa" w:w="3019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[PRAZO]</w:t>
            </w:r>
          </w:p>
        </w:tc>
        <w:tc>
          <w:tcPr>
            <w:tcW w:type="dxa" w:w="3019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[PRAZO]</w:t>
            </w:r>
          </w:p>
        </w:tc>
      </w:tr>
      <w:tr>
        <w:trPr>
          <w:cantSplit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[Normal]</w:t>
            </w:r>
          </w:p>
        </w:tc>
        <w:tc>
          <w:tcPr>
            <w:tcW w:type="dxa" w:w="3019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[PRAZO]</w:t>
            </w:r>
          </w:p>
        </w:tc>
        <w:tc>
          <w:tcPr>
            <w:tcW w:type="dxa" w:w="3019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[PRAZO]</w:t>
            </w:r>
          </w:p>
        </w:tc>
      </w:tr>
      <w:tr>
        <w:trPr>
          <w:cantSplit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[Melhoria]</w:t>
            </w:r>
          </w:p>
        </w:tc>
        <w:tc>
          <w:tcPr>
            <w:tcW w:type="dxa" w:w="3019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[PRAZO]</w:t>
            </w:r>
          </w:p>
        </w:tc>
        <w:tc>
          <w:tcPr>
            <w:tcW w:type="dxa" w:w="3019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[PRAZO]</w:t>
            </w:r>
          </w:p>
        </w:tc>
      </w:tr>
    </w:tbl>
    <w:p>
      <w:pPr>
        <w:pStyle w:val="Heading1"/>
        <w:keepNext/>
        <w:keepLines/>
        <w:pBdr>
          <w:top w:val="single" w:color="17181A" w:sz="6" w:space="8"/>
        </w:pBdr>
        <w:spacing w:after="200" w:before="480"/>
      </w:pPr>
      <w:r>
        <w:rPr>
          <w:rFonts w:ascii="IBM Plex Mono" w:cs="IBM Plex Mono" w:eastAsia="IBM Plex Mono" w:hAnsi="IBM Plex Mono"/>
          <w:color w:val="5F6168"/>
          <w:sz w:val="17"/>
          <w:szCs w:val="17"/>
        </w:rPr>
        <w:t xml:space="preserve">05 / </w:t>
      </w:r>
      <w:r>
        <w:rPr>
          <w:rFonts w:ascii="IBM Plex Sans" w:cs="IBM Plex Sans" w:eastAsia="IBM Plex Sans" w:hAnsi="IBM Plex Sans"/>
          <w:b/>
          <w:bCs/>
          <w:color w:val="17181A"/>
          <w:sz w:val="26"/>
          <w:szCs w:val="26"/>
        </w:rPr>
        <w:t xml:space="preserve">Mensalidade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838"/>
        <w:gridCol w:w="2800"/>
      </w:tblGrid>
      <w:tr>
        <w:trPr>
          <w:cantSplit/>
          <w:tblHeader/>
        </w:trPr>
        <w:tc>
          <w:tcPr>
            <w:tcW w:type="dxa" w:w="6838"/>
            <w:tcBorders>
              <w:top w:val="none" w:color="FFFFFF" w:sz="0"/>
              <w:left w:val="none" w:color="FFFFFF" w:sz="0"/>
              <w:bottom w:val="single" w:color="17181A" w:sz="6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Descrição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17181A" w:sz="6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6838"/>
            <w:tcBorders>
              <w:top w:val="single" w:color="FF5A1F" w:sz="12"/>
              <w:left w:val="none" w:color="FFFFFF" w:sz="0"/>
              <w:bottom w:val="single" w:color="17181A" w:sz="6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rFonts w:ascii="IBM Plex Sans" w:cs="IBM Plex Sans" w:eastAsia="IBM Plex Sans" w:hAnsi="IBM Plex Sans"/>
                <w:b/>
                <w:bCs/>
                <w:color w:val="17181A"/>
              </w:rPr>
              <w:t xml:space="preserve">Mensalidade</w:t>
            </w:r>
          </w:p>
        </w:tc>
        <w:tc>
          <w:tcPr>
            <w:tcW w:type="dxa" w:w="2800"/>
            <w:tcBorders>
              <w:top w:val="single" w:color="FF5A1F" w:sz="12"/>
              <w:left w:val="none" w:color="FFFFFF" w:sz="0"/>
              <w:bottom w:val="single" w:color="17181A" w:sz="6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spacing w:after="0"/>
              <w:jc w:val="right"/>
            </w:pPr>
            <w:r>
              <w:rPr>
                <w:rFonts w:ascii="IBM Plex Sans" w:cs="IBM Plex Sans" w:eastAsia="IBM Plex Sans" w:hAnsi="IBM Plex Sans"/>
                <w:b/>
                <w:bCs/>
                <w:color w:val="17181A"/>
              </w:rPr>
              <w:t xml:space="preserve">R$ </w:t>
            </w:r>
            <w:r>
              <w:rPr>
                <w:rFonts w:ascii="IBM Plex Sans" w:cs="IBM Plex Sans" w:eastAsia="IBM Plex Sans" w:hAnsi="IBM Plex Sans"/>
                <w:b/>
                <w:bCs/>
                <w:color w:val="5F6168"/>
              </w:rPr>
              <w:t xml:space="preserve">[VALOR]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Reajuste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[Índice e periodicidade]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Vencimento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[Dia do mês]</w:t>
            </w:r>
          </w:p>
        </w:tc>
      </w:tr>
    </w:tbl>
    <w:p>
      <w:pPr>
        <w:pStyle w:val="Heading1"/>
        <w:keepNext/>
        <w:keepLines/>
        <w:pBdr>
          <w:top w:val="single" w:color="17181A" w:sz="6" w:space="8"/>
        </w:pBdr>
        <w:spacing w:after="200" w:before="480"/>
      </w:pPr>
      <w:r>
        <w:rPr>
          <w:rFonts w:ascii="IBM Plex Mono" w:cs="IBM Plex Mono" w:eastAsia="IBM Plex Mono" w:hAnsi="IBM Plex Mono"/>
          <w:color w:val="5F6168"/>
          <w:sz w:val="17"/>
          <w:szCs w:val="17"/>
        </w:rPr>
        <w:t xml:space="preserve">06 / </w:t>
      </w:r>
      <w:r>
        <w:rPr>
          <w:rFonts w:ascii="IBM Plex Sans" w:cs="IBM Plex Sans" w:eastAsia="IBM Plex Sans" w:hAnsi="IBM Plex Sans"/>
          <w:b/>
          <w:bCs/>
          <w:color w:val="17181A"/>
          <w:sz w:val="26"/>
          <w:szCs w:val="26"/>
        </w:rPr>
        <w:t xml:space="preserve">Horas e capacidade incluída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Horas por mês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[quando aplicável]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Horas não usadas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[Acumulam / não acumulam]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Hora adicional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Sans" w:cs="IBM Plex Sans" w:eastAsia="IBM Plex Sans" w:hAnsi="IBM Plex Sans"/>
                <w:color w:val="17181A"/>
              </w:rPr>
              <w:t xml:space="preserve">R$ </w:t>
            </w:r>
            <w:r>
              <w:rPr>
                <w:rFonts w:ascii="IBM Plex Sans" w:cs="IBM Plex Sans" w:eastAsia="IBM Plex Sans" w:hAnsi="IBM Plex Sans"/>
                <w:color w:val="5F6168"/>
              </w:rPr>
              <w:t xml:space="preserve">[VALOR]</w:t>
            </w:r>
          </w:p>
        </w:tc>
      </w:tr>
    </w:tbl>
    <w:p>
      <w:pPr>
        <w:pStyle w:val="Heading1"/>
        <w:keepNext/>
        <w:keepLines/>
        <w:pBdr>
          <w:top w:val="single" w:color="17181A" w:sz="6" w:space="8"/>
        </w:pBdr>
        <w:spacing w:after="200" w:before="480"/>
      </w:pPr>
      <w:r>
        <w:rPr>
          <w:rFonts w:ascii="IBM Plex Mono" w:cs="IBM Plex Mono" w:eastAsia="IBM Plex Mono" w:hAnsi="IBM Plex Mono"/>
          <w:color w:val="5F6168"/>
          <w:sz w:val="17"/>
          <w:szCs w:val="17"/>
        </w:rPr>
        <w:t xml:space="preserve">07 / </w:t>
      </w:r>
      <w:r>
        <w:rPr>
          <w:rFonts w:ascii="IBM Plex Sans" w:cs="IBM Plex Sans" w:eastAsia="IBM Plex Sans" w:hAnsi="IBM Plex Sans"/>
          <w:b/>
          <w:bCs/>
          <w:color w:val="17181A"/>
          <w:sz w:val="26"/>
          <w:szCs w:val="26"/>
        </w:rPr>
        <w:t xml:space="preserve">Processo para novas demandas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39"/>
        <w:gridCol w:w="360"/>
        <w:gridCol w:w="2139"/>
        <w:gridCol w:w="360"/>
        <w:gridCol w:w="2139"/>
        <w:gridCol w:w="360"/>
        <w:gridCol w:w="2141"/>
      </w:tblGrid>
      <w:tr>
        <w:trPr>
          <w:cantSplit/>
        </w:trPr>
        <w:tc>
          <w:tcPr>
            <w:tcW w:type="dxa" w:w="2139"/>
            <w:tcBorders>
              <w:top w:val="single" w:color="5F6168" w:sz="6"/>
              <w:left w:val="single" w:color="5F6168" w:sz="6"/>
              <w:bottom w:val="single" w:color="5F6168" w:sz="6"/>
              <w:right w:val="single" w:color="5F6168" w:sz="6"/>
            </w:tcBorders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after="20"/>
            </w:pPr>
            <w:r>
              <w:rPr>
                <w:rFonts w:ascii="IBM Plex Mono" w:cs="IBM Plex Mono" w:eastAsia="IBM Plex Mono" w:hAnsi="IBM Plex Mono"/>
                <w:color w:val="5F6168"/>
                <w:sz w:val="14"/>
                <w:szCs w:val="14"/>
              </w:rPr>
              <w:t xml:space="preserve">01</w:t>
            </w:r>
          </w:p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caps/>
                <w:color w:val="17181A"/>
                <w:sz w:val="15"/>
                <w:szCs w:val="15"/>
              </w:rPr>
              <w:t xml:space="preserve">Demanda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IBM Plex Sans" w:cs="IBM Plex Sans" w:eastAsia="IBM Plex Sans" w:hAnsi="IBM Plex Sans"/>
                <w:color w:val="5F6168"/>
                <w:sz w:val="20"/>
                <w:szCs w:val="20"/>
              </w:rPr>
              <w:t xml:space="preserve">→</w:t>
            </w:r>
          </w:p>
        </w:tc>
        <w:tc>
          <w:tcPr>
            <w:tcW w:type="dxa" w:w="2139"/>
            <w:tcBorders>
              <w:top w:val="single" w:color="5F6168" w:sz="6"/>
              <w:left w:val="single" w:color="5F6168" w:sz="6"/>
              <w:bottom w:val="single" w:color="5F6168" w:sz="6"/>
              <w:right w:val="single" w:color="5F6168" w:sz="6"/>
            </w:tcBorders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after="20"/>
            </w:pPr>
            <w:r>
              <w:rPr>
                <w:rFonts w:ascii="IBM Plex Mono" w:cs="IBM Plex Mono" w:eastAsia="IBM Plex Mono" w:hAnsi="IBM Plex Mono"/>
                <w:color w:val="5F6168"/>
                <w:sz w:val="14"/>
                <w:szCs w:val="14"/>
              </w:rPr>
              <w:t xml:space="preserve">02</w:t>
            </w:r>
          </w:p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caps/>
                <w:color w:val="17181A"/>
                <w:sz w:val="15"/>
                <w:szCs w:val="15"/>
              </w:rPr>
              <w:t xml:space="preserve">Avaliação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IBM Plex Sans" w:cs="IBM Plex Sans" w:eastAsia="IBM Plex Sans" w:hAnsi="IBM Plex Sans"/>
                <w:color w:val="5F6168"/>
                <w:sz w:val="20"/>
                <w:szCs w:val="20"/>
              </w:rPr>
              <w:t xml:space="preserve">→</w:t>
            </w:r>
          </w:p>
        </w:tc>
        <w:tc>
          <w:tcPr>
            <w:tcW w:type="dxa" w:w="2139"/>
            <w:tcBorders>
              <w:top w:val="single" w:color="5F6168" w:sz="6"/>
              <w:left w:val="single" w:color="5F6168" w:sz="6"/>
              <w:bottom w:val="single" w:color="5F6168" w:sz="6"/>
              <w:right w:val="single" w:color="5F6168" w:sz="6"/>
            </w:tcBorders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after="20"/>
            </w:pPr>
            <w:r>
              <w:rPr>
                <w:rFonts w:ascii="IBM Plex Mono" w:cs="IBM Plex Mono" w:eastAsia="IBM Plex Mono" w:hAnsi="IBM Plex Mono"/>
                <w:color w:val="5F6168"/>
                <w:sz w:val="14"/>
                <w:szCs w:val="14"/>
              </w:rPr>
              <w:t xml:space="preserve">03</w:t>
            </w:r>
          </w:p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caps/>
                <w:color w:val="17181A"/>
                <w:sz w:val="15"/>
                <w:szCs w:val="15"/>
              </w:rPr>
              <w:t xml:space="preserve">Classificação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IBM Plex Sans" w:cs="IBM Plex Sans" w:eastAsia="IBM Plex Sans" w:hAnsi="IBM Plex Sans"/>
                <w:color w:val="5F6168"/>
                <w:sz w:val="20"/>
                <w:szCs w:val="20"/>
              </w:rPr>
              <w:t xml:space="preserve">→</w:t>
            </w:r>
          </w:p>
        </w:tc>
        <w:tc>
          <w:tcPr>
            <w:tcW w:type="dxa" w:w="2141"/>
            <w:tcBorders>
              <w:top w:val="single" w:color="5F6168" w:sz="6"/>
              <w:left w:val="single" w:color="5F6168" w:sz="6"/>
              <w:bottom w:val="single" w:color="5F6168" w:sz="6"/>
              <w:right w:val="single" w:color="5F6168" w:sz="6"/>
            </w:tcBorders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after="20"/>
            </w:pPr>
            <w:r>
              <w:rPr>
                <w:rFonts w:ascii="IBM Plex Mono" w:cs="IBM Plex Mono" w:eastAsia="IBM Plex Mono" w:hAnsi="IBM Plex Mono"/>
                <w:color w:val="5F6168"/>
                <w:sz w:val="14"/>
                <w:szCs w:val="14"/>
              </w:rPr>
              <w:t xml:space="preserve">04</w:t>
            </w:r>
          </w:p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caps/>
                <w:color w:val="17181A"/>
                <w:sz w:val="15"/>
                <w:szCs w:val="15"/>
              </w:rPr>
              <w:t xml:space="preserve">Execução ou orçamento</w:t>
            </w:r>
          </w:p>
        </w:tc>
      </w:tr>
    </w:tbl>
    <w:p>
      <w:pPr>
        <w:spacing w:after="80"/>
      </w:pPr>
    </w:p>
    <w:p>
      <w:pPr>
        <w:spacing w:after="120" w:before="0"/>
      </w:pPr>
      <w:r>
        <w:rPr>
          <w:rFonts w:ascii="IBM Plex Sans" w:cs="IBM Plex Sans" w:eastAsia="IBM Plex Sans" w:hAnsi="IBM Plex Sans"/>
          <w:color w:val="5F6168"/>
        </w:rPr>
        <w:t xml:space="preserve">Toda demanda é avaliada e classificada como correção, pequena evolução ou novo escopo. As duas primeiras entram no plano. Novo escopo recebe orçamento antes de começar.</w:t>
      </w:r>
    </w:p>
    <w:sectPr>
      <w:headerReference w:type="default" r:id="rId7"/>
      <w:footerReference w:type="default" r:id="rId8"/>
      <w:pgSz w:w="11906" w:h="16838" w:orient="portrait"/>
      <w:pgMar w:top="1531" w:right="1134" w:bottom="1418" w:left="1134" w:header="680" w:footer="567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D3CB" w:sz="4" w:space="8"/>
      </w:pBdr>
      <w:tabs>
        <w:tab w:val="right" w:pos="9638"/>
      </w:tabs>
      <w:spacing w:before="0"/>
    </w:pPr>
    <w:r>
      <w:rPr>
        <w:rFonts w:ascii="IBM Plex Mono" w:cs="IBM Plex Mono" w:eastAsia="IBM Plex Mono" w:hAnsi="IBM Plex Mono"/>
        <w:caps/>
        <w:color w:val="5F6168"/>
        <w:spacing w:val="6"/>
        <w:sz w:val="14"/>
        <w:szCs w:val="14"/>
      </w:rPr>
      <w:t xml:space="preserve">Zarco / Manutenção / [Nome do sistema]</w:t>
    </w:r>
    <w:r>
      <w:rPr>
        <w:rFonts w:ascii="IBM Plex Mono" w:cs="IBM Plex Mono" w:eastAsia="IBM Plex Mono" w:hAnsi="IBM Plex Mono"/>
        <w:caps/>
        <w:color w:val="5F6168"/>
        <w:spacing w:val="6"/>
        <w:sz w:val="14"/>
        <w:szCs w:val="14"/>
      </w:rPr>
      <w:tab/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D3CB" w:sz="4" w:space="8"/>
      </w:pBdr>
      <w:tabs>
        <w:tab w:val="right" w:pos="9638"/>
      </w:tabs>
      <w:spacing w:after="0"/>
    </w:pPr>
    <w:r>
      <w:drawing>
        <wp:inline distT="0" distB="0" distL="0" distR="0">
          <wp:extent cx="792000" cy="1691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>
                    <a:extLst>
                      <a:ext uri="{96DAC541-7B7A-43D3-8B79-37D633B846F1}">
                        <asvg:svgBlip xmlns:asvg="http://schemas.microsoft.com/office/drawing/2016/SVG/main" r:embed="rId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2000" cy="169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IBM Plex Mono" w:cs="IBM Plex Mono" w:eastAsia="IBM Plex Mono" w:hAnsi="IBM Plex Mono"/>
        <w:caps/>
        <w:color w:val="5F6168"/>
        <w:spacing w:val="6"/>
        <w:sz w:val="14"/>
        <w:szCs w:val="14"/>
      </w:rPr>
      <w:tab/>
      <w:t xml:space="preserve">Plano de manutenção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40"/>
      </w:pPr>
      <w:rPr>
        <w:color w:val="5F616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IBM Plex Mono" w:cs="IBM Plex Mono" w:eastAsia="IBM Plex Mono" w:hAnsi="IBM Plex Mono"/>
        <w:color w:val="5F616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" w:cs="IBM Plex Sans" w:eastAsia="IBM Plex Sans" w:hAnsi="IBM Plex Sans"/>
        <w:color w:val="17181A"/>
        <w:sz w:val="20"/>
        <w:szCs w:val="20"/>
      </w:rPr>
    </w:rPrDefault>
    <w:pPrDefault>
      <w:pPr>
        <w:spacing w:line="288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IBM Plex Sans" w:cs="IBM Plex Sans" w:eastAsia="IBM Plex Sans" w:hAnsi="IBM Plex Sans"/>
      <w:b/>
      <w:bCs/>
      <w:color w:val="17181A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IBM Plex Sans" w:cs="IBM Plex Sans" w:eastAsia="IBM Plex Sans" w:hAnsi="IBM Plex Sans"/>
      <w:b/>
      <w:bCs/>
      <w:color w:val="17181A"/>
      <w:sz w:val="21"/>
      <w:szCs w:val="21"/>
    </w:rPr>
  </w:style>
  <w:style w:type="paragraph" w:styleId="Title">
    <w:name w:val="Title"/>
    <w:basedOn w:val="Normal"/>
    <w:next w:val="Normal"/>
    <w:rPr>
      <w:rFonts w:ascii="IBM Plex Sans" w:cs="IBM Plex Sans" w:eastAsia="IBM Plex Sans" w:hAnsi="IBM Plex Sans"/>
      <w:b/>
      <w:bCs/>
      <w:color w:val="17181A"/>
      <w:sz w:val="44"/>
      <w:szCs w:val="4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187d1bb45938744764440145135be459e5f0523.svg"/><Relationship Id="rId1" Type="http://schemas.openxmlformats.org/officeDocument/2006/relationships/image" Target="media/32a5b70c59e50afee43b82fe5a5920a1bf1f58d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manutenção</dc:title>
  <dc:creator>Zarco</dc:creator>
  <dc:description>Documento Zarco</dc:description>
  <cp:lastModifiedBy>Un-named</cp:lastModifiedBy>
  <cp:revision>1</cp:revision>
  <dcterms:created xsi:type="dcterms:W3CDTF">2026-10-06T22:13:30.147Z</dcterms:created>
  <dcterms:modified xsi:type="dcterms:W3CDTF">2026-10-06T22:13:30.147Z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