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5BCC2" w14:textId="77777777" w:rsidR="00281A64" w:rsidRPr="00281A64" w:rsidRDefault="00281A64" w:rsidP="00281A64">
      <w:r w:rsidRPr="00281A64">
        <w:t>Service Engagement Agreement</w:t>
      </w:r>
    </w:p>
    <w:p w14:paraId="7F174AAB" w14:textId="77777777" w:rsidR="00281A64" w:rsidRPr="00281A64" w:rsidRDefault="00281A64" w:rsidP="00281A64">
      <w:r w:rsidRPr="00281A64">
        <w:rPr>
          <w:b/>
          <w:bCs/>
        </w:rPr>
        <w:t>Between: Orion Consulting Group (“Consultant”) and Delta Enterprises (“Client”)</w:t>
      </w:r>
    </w:p>
    <w:p w14:paraId="3B988D6A" w14:textId="77777777" w:rsidR="00281A64" w:rsidRPr="00281A64" w:rsidRDefault="00281A64" w:rsidP="00281A64">
      <w:r w:rsidRPr="00281A64">
        <w:t>1. Scope of Work</w:t>
      </w:r>
    </w:p>
    <w:p w14:paraId="6675E8C2" w14:textId="77777777" w:rsidR="00281A64" w:rsidRPr="00281A64" w:rsidRDefault="00281A64" w:rsidP="00281A64">
      <w:r w:rsidRPr="00281A64">
        <w:t>Consultant shall provide advisory and operational support services to Client in areas mutually agreed upon. Specific deliverables will be outlined in written statements of work, signed by both parties. Any updates to scope must be approved in writing by both Consultant and Client.</w:t>
      </w:r>
    </w:p>
    <w:p w14:paraId="546F3EBB" w14:textId="77777777" w:rsidR="00281A64" w:rsidRPr="00281A64" w:rsidRDefault="00281A64" w:rsidP="00281A64">
      <w:r w:rsidRPr="00281A64">
        <w:t>2. Fees and Payment</w:t>
      </w:r>
    </w:p>
    <w:p w14:paraId="4AC6671F" w14:textId="77777777" w:rsidR="00281A64" w:rsidRPr="00281A64" w:rsidRDefault="00281A64" w:rsidP="00281A64">
      <w:r w:rsidRPr="00281A64">
        <w:t>Client agrees to pay Consultant a fixed annual fee of USD 250,000, payable in quarterly installments. Any additional charges must be pre</w:t>
      </w:r>
      <w:r w:rsidRPr="00281A64">
        <w:noBreakHyphen/>
        <w:t>approved in writing by Client and supported with detailed invoices.</w:t>
      </w:r>
    </w:p>
    <w:p w14:paraId="386EEC46" w14:textId="77777777" w:rsidR="00281A64" w:rsidRPr="00281A64" w:rsidRDefault="00281A64" w:rsidP="00281A64">
      <w:r w:rsidRPr="00281A64">
        <w:t>3. Performance Standards</w:t>
      </w:r>
    </w:p>
    <w:p w14:paraId="126B155F" w14:textId="77777777" w:rsidR="00281A64" w:rsidRPr="00281A64" w:rsidRDefault="00281A64" w:rsidP="00281A64">
      <w:r w:rsidRPr="00281A64">
        <w:t>Consultant shall perform services in accordance with recognized industry practices and professional standards. Consultant shall use reasonable care and skill to achieve agreed outcomes. Both parties acknowledge that unforeseen external factors may affect timelines, and adjustments will be mutually agreed upon.</w:t>
      </w:r>
    </w:p>
    <w:p w14:paraId="311F8C1E" w14:textId="77777777" w:rsidR="00281A64" w:rsidRPr="00281A64" w:rsidRDefault="00281A64" w:rsidP="00281A64">
      <w:r w:rsidRPr="00281A64">
        <w:t>4. Confidentiality</w:t>
      </w:r>
    </w:p>
    <w:p w14:paraId="224F33FE" w14:textId="77777777" w:rsidR="00281A64" w:rsidRPr="00281A64" w:rsidRDefault="00281A64" w:rsidP="00281A64">
      <w:r w:rsidRPr="00281A64">
        <w:t>Both parties agree to maintain strict confidentiality of all information exchanged under this Agreement. Disclosure to affiliates or subcontractors is permitted only with prior written consent and subject to equivalent confidentiality obligations.</w:t>
      </w:r>
    </w:p>
    <w:p w14:paraId="538A49A0" w14:textId="77777777" w:rsidR="00281A64" w:rsidRPr="00281A64" w:rsidRDefault="00281A64" w:rsidP="00281A64">
      <w:r w:rsidRPr="00281A64">
        <w:t>5. Liability and Indemnification</w:t>
      </w:r>
    </w:p>
    <w:p w14:paraId="7B375B5C" w14:textId="77777777" w:rsidR="00281A64" w:rsidRPr="00281A64" w:rsidRDefault="00281A64" w:rsidP="00281A64">
      <w:r w:rsidRPr="00281A64">
        <w:t>Each party shall be responsible for its own actions and omissions. Consultant’s liability shall be limited to direct damages arising from proven negligence or willful misconduct, capped at the total annual fees paid under this Agreement. Client shall not indemnify Consultant beyond this scope.</w:t>
      </w:r>
    </w:p>
    <w:p w14:paraId="15B8C944" w14:textId="77777777" w:rsidR="00281A64" w:rsidRPr="00281A64" w:rsidRDefault="00281A64" w:rsidP="00281A64">
      <w:r w:rsidRPr="00281A64">
        <w:t>6. Compliance Matters</w:t>
      </w:r>
    </w:p>
    <w:p w14:paraId="6D0DFE75" w14:textId="77777777" w:rsidR="00281A64" w:rsidRPr="00281A64" w:rsidRDefault="00281A64" w:rsidP="00281A64">
      <w:r w:rsidRPr="00281A64">
        <w:t>Consultant shall provide guidance on compliance matters and ensure that advice is consistent with applicable laws. Client remains responsible for regulatory filings, but Consultant shall assist in preparing documentation where relevant.</w:t>
      </w:r>
    </w:p>
    <w:p w14:paraId="4CE7B6A7" w14:textId="77777777" w:rsidR="00281A64" w:rsidRPr="00281A64" w:rsidRDefault="00281A64" w:rsidP="00281A64">
      <w:r w:rsidRPr="00281A64">
        <w:t>7. Exclusivity</w:t>
      </w:r>
    </w:p>
    <w:p w14:paraId="70571116" w14:textId="77777777" w:rsidR="00281A64" w:rsidRPr="00281A64" w:rsidRDefault="00281A64" w:rsidP="00281A64">
      <w:r w:rsidRPr="00281A64">
        <w:t>Client may engage other advisory service providers at its discretion. Consultant shall not restrict Client’s ability to seek alternative or supplementary advice.</w:t>
      </w:r>
    </w:p>
    <w:p w14:paraId="573772D3" w14:textId="77777777" w:rsidR="00281A64" w:rsidRPr="00281A64" w:rsidRDefault="00281A64" w:rsidP="00281A64">
      <w:r w:rsidRPr="00281A64">
        <w:lastRenderedPageBreak/>
        <w:t>8. Term and Termination</w:t>
      </w:r>
    </w:p>
    <w:p w14:paraId="053CEFFB" w14:textId="77777777" w:rsidR="00281A64" w:rsidRPr="00281A64" w:rsidRDefault="00281A64" w:rsidP="00281A64">
      <w:r w:rsidRPr="00281A64">
        <w:t>This Agreement shall remain in effect for three (3) years. Either party may terminate with ninety (90) days’ written notice. Termination for material breach may occur immediately upon written notice, subject to resolution discussions between both parties. Automatic renewal shall occur only with mutual written consent.</w:t>
      </w:r>
    </w:p>
    <w:p w14:paraId="0DCF362C" w14:textId="77777777" w:rsidR="00281A64" w:rsidRPr="00281A64" w:rsidRDefault="00281A64" w:rsidP="00281A64">
      <w:r w:rsidRPr="00281A64">
        <w:t>9. Governing Law and Dispute Resolution</w:t>
      </w:r>
    </w:p>
    <w:p w14:paraId="615DDC1F" w14:textId="77777777" w:rsidR="00281A64" w:rsidRPr="00281A64" w:rsidRDefault="00281A64" w:rsidP="00281A64">
      <w:r w:rsidRPr="00281A64">
        <w:t>This Agreement shall be governed by the laws of Singapore. Disputes shall be resolved by arbitration under neutral, internationally recognized rules, agreed upon by both parties.</w:t>
      </w:r>
    </w:p>
    <w:p w14:paraId="68D27C8F" w14:textId="77777777" w:rsidR="00281A64" w:rsidRPr="00281A64" w:rsidRDefault="00281A64" w:rsidP="00281A64">
      <w:r w:rsidRPr="00281A64">
        <w:t>10. Miscellaneous</w:t>
      </w:r>
    </w:p>
    <w:p w14:paraId="6E0157FB" w14:textId="77777777" w:rsidR="00281A64" w:rsidRPr="00281A64" w:rsidRDefault="00281A64" w:rsidP="00281A64">
      <w:pPr>
        <w:numPr>
          <w:ilvl w:val="0"/>
          <w:numId w:val="1"/>
        </w:numPr>
      </w:pPr>
      <w:r w:rsidRPr="00281A64">
        <w:t>Neither party may assign this Agreement without the other party’s prior written consent.</w:t>
      </w:r>
    </w:p>
    <w:p w14:paraId="449936D0" w14:textId="77777777" w:rsidR="00281A64" w:rsidRPr="00281A64" w:rsidRDefault="00281A64" w:rsidP="00281A64">
      <w:pPr>
        <w:numPr>
          <w:ilvl w:val="0"/>
          <w:numId w:val="1"/>
        </w:numPr>
      </w:pPr>
      <w:r w:rsidRPr="00281A64">
        <w:t>Any ambiguity shall be interpreted in a manner that reflects the mutual intent of both parties.</w:t>
      </w:r>
    </w:p>
    <w:p w14:paraId="44D8A281" w14:textId="77777777" w:rsidR="00281A64" w:rsidRPr="00281A64" w:rsidRDefault="00281A64" w:rsidP="00281A64">
      <w:pPr>
        <w:numPr>
          <w:ilvl w:val="0"/>
          <w:numId w:val="1"/>
        </w:numPr>
      </w:pPr>
      <w:r w:rsidRPr="00281A64">
        <w:t>This Agreement represents the entire understanding between Consultant and Client and may only be amended in writing, signed by both parties.</w:t>
      </w:r>
    </w:p>
    <w:p w14:paraId="485A1CAB" w14:textId="77777777" w:rsidR="0043294D" w:rsidRDefault="0043294D"/>
    <w:sectPr w:rsidR="00432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13E40"/>
    <w:multiLevelType w:val="multilevel"/>
    <w:tmpl w:val="A124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977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94D"/>
    <w:rsid w:val="00281A64"/>
    <w:rsid w:val="0043294D"/>
    <w:rsid w:val="00C352B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CE04B4-AACE-45C6-BFF9-51BC58920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9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9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9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9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9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9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9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9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29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9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94D"/>
    <w:rPr>
      <w:rFonts w:eastAsiaTheme="majorEastAsia" w:cstheme="majorBidi"/>
      <w:color w:val="272727" w:themeColor="text1" w:themeTint="D8"/>
    </w:rPr>
  </w:style>
  <w:style w:type="paragraph" w:styleId="Title">
    <w:name w:val="Title"/>
    <w:basedOn w:val="Normal"/>
    <w:next w:val="Normal"/>
    <w:link w:val="TitleChar"/>
    <w:uiPriority w:val="10"/>
    <w:qFormat/>
    <w:rsid w:val="00432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94D"/>
    <w:pPr>
      <w:spacing w:before="160"/>
      <w:jc w:val="center"/>
    </w:pPr>
    <w:rPr>
      <w:i/>
      <w:iCs/>
      <w:color w:val="404040" w:themeColor="text1" w:themeTint="BF"/>
    </w:rPr>
  </w:style>
  <w:style w:type="character" w:customStyle="1" w:styleId="QuoteChar">
    <w:name w:val="Quote Char"/>
    <w:basedOn w:val="DefaultParagraphFont"/>
    <w:link w:val="Quote"/>
    <w:uiPriority w:val="29"/>
    <w:rsid w:val="0043294D"/>
    <w:rPr>
      <w:i/>
      <w:iCs/>
      <w:color w:val="404040" w:themeColor="text1" w:themeTint="BF"/>
    </w:rPr>
  </w:style>
  <w:style w:type="paragraph" w:styleId="ListParagraph">
    <w:name w:val="List Paragraph"/>
    <w:basedOn w:val="Normal"/>
    <w:uiPriority w:val="34"/>
    <w:qFormat/>
    <w:rsid w:val="0043294D"/>
    <w:pPr>
      <w:ind w:left="720"/>
      <w:contextualSpacing/>
    </w:pPr>
  </w:style>
  <w:style w:type="character" w:styleId="IntenseEmphasis">
    <w:name w:val="Intense Emphasis"/>
    <w:basedOn w:val="DefaultParagraphFont"/>
    <w:uiPriority w:val="21"/>
    <w:qFormat/>
    <w:rsid w:val="0043294D"/>
    <w:rPr>
      <w:i/>
      <w:iCs/>
      <w:color w:val="2F5496" w:themeColor="accent1" w:themeShade="BF"/>
    </w:rPr>
  </w:style>
  <w:style w:type="paragraph" w:styleId="IntenseQuote">
    <w:name w:val="Intense Quote"/>
    <w:basedOn w:val="Normal"/>
    <w:next w:val="Normal"/>
    <w:link w:val="IntenseQuoteChar"/>
    <w:uiPriority w:val="30"/>
    <w:qFormat/>
    <w:rsid w:val="004329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94D"/>
    <w:rPr>
      <w:i/>
      <w:iCs/>
      <w:color w:val="2F5496" w:themeColor="accent1" w:themeShade="BF"/>
    </w:rPr>
  </w:style>
  <w:style w:type="character" w:styleId="IntenseReference">
    <w:name w:val="Intense Reference"/>
    <w:basedOn w:val="DefaultParagraphFont"/>
    <w:uiPriority w:val="32"/>
    <w:qFormat/>
    <w:rsid w:val="004329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2475</Characters>
  <Application>Microsoft Office Word</Application>
  <DocSecurity>0</DocSecurity>
  <Lines>20</Lines>
  <Paragraphs>5</Paragraphs>
  <ScaleCrop>false</ScaleCrop>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PanneerSelvam</dc:creator>
  <cp:keywords/>
  <dc:description/>
  <cp:lastModifiedBy>Karthikeyan PanneerSelvam</cp:lastModifiedBy>
  <cp:revision>2</cp:revision>
  <dcterms:created xsi:type="dcterms:W3CDTF">2026-03-03T05:25:00Z</dcterms:created>
  <dcterms:modified xsi:type="dcterms:W3CDTF">2026-03-03T05:25:00Z</dcterms:modified>
</cp:coreProperties>
</file>