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Posicionamento da Okestre IA</w:t>
      </w:r>
    </w:p>
    <w:p>
      <w:r>
        <w:t>Direção de marca e proposta de valor • Outubro de 2026</w:t>
      </w:r>
    </w:p>
    <w:p>
      <w:r>
        <w:t>A Okestre IA deve se posicionar como uma plataforma de execução supervisionada de trabalho de negócio, documentação e tecnologia. Sua proposta é transformar objetivos e demandas em planos, documentos, processos e implementações verificáveis, com agentes de IA executando etapas e pessoas definindo objetivos, aprovando ações relevantes e validando resultados.</w:t>
      </w:r>
    </w:p>
    <w:p>
      <w:r>
        <w:t>Este posicionamento orienta produto, comunicação e oferta comercial. A direção central é aproximar o valor entregue do trabalho concluído, com escopo e critérios de aceite claros.</w:t>
      </w:r>
    </w:p>
    <w:p>
      <w:pPr>
        <w:pStyle w:val="Heading2"/>
      </w:pPr>
      <w:r>
        <w:t>Tese de posicionamento</w:t>
      </w:r>
    </w:p>
    <w:p>
      <w:r>
        <w:t>A unidade de valor da Okestre IA é a entrega aceita. A interface organiza o trabalho; a IA executa as etapas autorizadas; o responsável acompanha evidências e decide sobre a conclusão. O cliente deve conseguir entender o que foi solicitado, o que foi feito, o que foi validado e o que ainda depende de intervenção.</w:t>
      </w:r>
    </w:p>
    <w:p>
      <w:pPr>
        <w:pStyle w:val="Heading2"/>
      </w:pPr>
      <w:r>
        <w:t>Categoria e definição</w:t>
      </w:r>
    </w:p>
    <w:p>
      <w:r>
        <w:t>Categoria proposta: plataforma de execução de negócio, documentação e tecnologia com IA supervisionada. O conceito Service as Software expressa o modelo de entrega: atividades de um serviço são executadas por software, sob responsabilidade e supervisão humanas.</w:t>
      </w:r>
    </w:p>
    <w:p>
      <w:r>
        <w:t>Declaração de posicionamento: para equipes responsáveis por planejar, estruturar e executar iniciativas de negócio e tecnologia, a Okestre IA propõe um ambiente que conecta contexto do projeto, execução por agentes e validação humana, conduzindo demandas de negócio, documentação e implementação até entregas com evidências e critérios de aceite.</w:t>
      </w:r>
    </w:p>
    <w:p>
      <w:pPr>
        <w:pStyle w:val="Heading2"/>
      </w:pPr>
      <w:r>
        <w:t>Da ferramenta à entrega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3855"/>
        <w:gridCol w:w="3912"/>
      </w:tblGrid>
      <w:tr>
        <w:trPr>
          <w:cantSplit/>
        </w:trPr>
        <w:tc>
          <w:tcPr>
            <w:tcW w:type="dxa" w:w="1757"/>
            <w:shd w:fill="E8F1EE"/>
          </w:tcPr>
          <w:p>
            <w:pPr>
              <w:spacing w:after="120" w:before="120"/>
            </w:pPr>
            <w:r>
              <w:rPr>
                <w:b/>
                <w:sz w:val="20"/>
              </w:rPr>
              <w:t>Dimensão</w:t>
            </w:r>
          </w:p>
        </w:tc>
        <w:tc>
          <w:tcPr>
            <w:tcW w:type="dxa" w:w="3855"/>
            <w:shd w:fill="E8F1EE"/>
          </w:tcPr>
          <w:p>
            <w:pPr>
              <w:spacing w:after="120" w:before="120"/>
            </w:pPr>
            <w:r>
              <w:rPr>
                <w:b/>
                <w:sz w:val="20"/>
              </w:rPr>
              <w:t>Software as a Service</w:t>
            </w:r>
          </w:p>
        </w:tc>
        <w:tc>
          <w:tcPr>
            <w:tcW w:type="dxa" w:w="3912"/>
            <w:shd w:fill="E8F1EE"/>
          </w:tcPr>
          <w:p>
            <w:pPr>
              <w:spacing w:after="120" w:before="120"/>
            </w:pPr>
            <w:r>
              <w:rPr>
                <w:b/>
                <w:sz w:val="20"/>
              </w:rPr>
              <w:t>Service as Software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20" w:before="120"/>
            </w:pPr>
            <w:r>
              <w:rPr>
                <w:sz w:val="20"/>
              </w:rPr>
              <w:t>Papel do software</w:t>
            </w:r>
          </w:p>
        </w:tc>
        <w:tc>
          <w:tcPr>
            <w:tcW w:type="dxa" w:w="3855"/>
          </w:tcPr>
          <w:p>
            <w:pPr>
              <w:spacing w:after="120" w:before="120"/>
            </w:pPr>
            <w:r>
              <w:rPr>
                <w:sz w:val="20"/>
              </w:rPr>
              <w:t>Oferecer recursos para operar</w:t>
            </w:r>
          </w:p>
        </w:tc>
        <w:tc>
          <w:tcPr>
            <w:tcW w:type="dxa" w:w="3912"/>
          </w:tcPr>
          <w:p>
            <w:pPr>
              <w:spacing w:after="120" w:before="120"/>
            </w:pPr>
            <w:r>
              <w:rPr>
                <w:sz w:val="20"/>
              </w:rPr>
              <w:t>Executar etapas do trabalho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20" w:before="120"/>
            </w:pPr>
            <w:r>
              <w:rPr>
                <w:sz w:val="20"/>
              </w:rPr>
              <w:t>Papel humano</w:t>
            </w:r>
          </w:p>
        </w:tc>
        <w:tc>
          <w:tcPr>
            <w:tcW w:type="dxa" w:w="3855"/>
          </w:tcPr>
          <w:p>
            <w:pPr>
              <w:spacing w:after="120" w:before="120"/>
            </w:pPr>
            <w:r>
              <w:rPr>
                <w:sz w:val="20"/>
              </w:rPr>
              <w:t>Realizar o trabalho na ferramenta</w:t>
            </w:r>
          </w:p>
        </w:tc>
        <w:tc>
          <w:tcPr>
            <w:tcW w:type="dxa" w:w="3912"/>
          </w:tcPr>
          <w:p>
            <w:pPr>
              <w:spacing w:after="120" w:before="120"/>
            </w:pPr>
            <w:r>
              <w:rPr>
                <w:sz w:val="20"/>
              </w:rPr>
              <w:t>Definir, supervisionar e validar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20" w:before="120"/>
            </w:pPr>
            <w:r>
              <w:rPr>
                <w:sz w:val="20"/>
              </w:rPr>
              <w:t>Valor percebido</w:t>
            </w:r>
          </w:p>
        </w:tc>
        <w:tc>
          <w:tcPr>
            <w:tcW w:type="dxa" w:w="3855"/>
          </w:tcPr>
          <w:p>
            <w:pPr>
              <w:spacing w:after="120" w:before="120"/>
            </w:pPr>
            <w:r>
              <w:rPr>
                <w:sz w:val="20"/>
              </w:rPr>
              <w:t>Acesso e produtividade de uso</w:t>
            </w:r>
          </w:p>
        </w:tc>
        <w:tc>
          <w:tcPr>
            <w:tcW w:type="dxa" w:w="3912"/>
          </w:tcPr>
          <w:p>
            <w:pPr>
              <w:spacing w:after="120" w:before="120"/>
            </w:pPr>
            <w:r>
              <w:rPr>
                <w:sz w:val="20"/>
              </w:rPr>
              <w:t>Trabalho concluído e aceito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20" w:before="120"/>
            </w:pPr>
            <w:r>
              <w:rPr>
                <w:sz w:val="20"/>
              </w:rPr>
              <w:t>Evidência de valor</w:t>
            </w:r>
          </w:p>
        </w:tc>
        <w:tc>
          <w:tcPr>
            <w:tcW w:type="dxa" w:w="3855"/>
          </w:tcPr>
          <w:p>
            <w:pPr>
              <w:spacing w:after="120" w:before="120"/>
            </w:pPr>
            <w:r>
              <w:rPr>
                <w:sz w:val="20"/>
              </w:rPr>
              <w:t>Uso dos recursos disponíveis</w:t>
            </w:r>
          </w:p>
        </w:tc>
        <w:tc>
          <w:tcPr>
            <w:tcW w:type="dxa" w:w="3912"/>
          </w:tcPr>
          <w:p>
            <w:pPr>
              <w:spacing w:after="120" w:before="120"/>
            </w:pPr>
            <w:r>
              <w:rPr>
                <w:sz w:val="20"/>
              </w:rPr>
              <w:t>Entrega e validação do resultado</w:t>
            </w:r>
          </w:p>
        </w:tc>
      </w:tr>
    </w:tbl>
    <w:p>
      <w:r>
        <w:t>A comparação define a direção da oferta. A forma de cobrança precisa considerar também escopo, consumo, exceções e responsabilidade pela entrega.</w:t>
      </w:r>
    </w:p>
    <w:p>
      <w:r>
        <w:br w:type="page"/>
      </w:r>
    </w:p>
    <w:p>
      <w:pPr>
        <w:pStyle w:val="Heading1"/>
      </w:pPr>
      <w:r>
        <w:t>Público e proposta de valor</w:t>
      </w:r>
    </w:p>
    <w:p>
      <w:pPr>
        <w:pStyle w:val="Heading2"/>
      </w:pPr>
      <w:r>
        <w:t>Público prioritário proposto</w:t>
      </w:r>
    </w:p>
    <w:p>
      <w:r>
        <w:t>O foco são empresas de serviços, consultorias, software houses e equipes internas que precisam conectar negócio, documentação e execução. Os usuários incluem gestores, analistas de negócio, responsáveis por produto e projetos e profissionais técnicos. O comprador é quem responde pela capacidade de entrega e pela qualidade dos resultados dessas iniciativas.</w:t>
      </w:r>
    </w:p>
    <w:p>
      <w:r>
        <w:t>O melhor ponto de entrada é um fluxo recorrente, com acesso controlado aos recursos do projeto, critérios de conclusão observáveis e uma pessoa responsável pela revisão. Esse recorte permite demonstrar valor antes de ampliar a autonomia.</w:t>
      </w:r>
    </w:p>
    <w:p>
      <w:pPr>
        <w:pStyle w:val="Heading2"/>
      </w:pPr>
      <w:r>
        <w:t>Problema que a marca deve assumir</w:t>
      </w:r>
    </w:p>
    <w:p>
      <w:r>
        <w:t>Entre uma demanda e uma entrega há diagnóstico, decisões de negócio, definição de escopo, documentação, execução e acompanhamento. Quando essas etapas ficam dispersas, a pessoa precisa reconstruir o contexto, transportar informações e conferir manualmente se o pedido foi atendido. A Okestre IA deve assumir a organização e a execução desse percurso dentro de um escopo definido.</w:t>
      </w:r>
    </w:p>
    <w:p>
      <w:pPr>
        <w:pStyle w:val="Heading2"/>
      </w:pPr>
      <w:r>
        <w:t>Proposta de valor</w:t>
      </w:r>
    </w:p>
    <w:p>
      <w:r>
        <w:t>Delegar trabalho de negócio, documentação e tecnologia com contexto e acompanhar uma entrega verificável. O benefício esperado é reduzir o esforço de coordenação e execução repetitiva, mantendo visibilidade sobre as mudanças e responsabilidade humana pelas decisões. Ganhos de prazo e custo devem ser demonstrados em uso, sem percentuais antecipados.</w:t>
      </w:r>
    </w:p>
    <w:p>
      <w:pPr>
        <w:pStyle w:val="Heading2"/>
      </w:pPr>
      <w:r>
        <w:t>Diferenciação a construir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973"/>
      </w:tblGrid>
      <w:tr>
        <w:trPr>
          <w:cantSplit/>
        </w:trPr>
        <w:tc>
          <w:tcPr>
            <w:tcW w:type="dxa" w:w="2551"/>
            <w:shd w:fill="E8F1EE"/>
          </w:tcPr>
          <w:p>
            <w:pPr>
              <w:spacing w:after="120" w:before="120"/>
            </w:pPr>
            <w:r>
              <w:rPr>
                <w:b/>
                <w:sz w:val="20"/>
              </w:rPr>
              <w:t>Alternativa</w:t>
            </w:r>
          </w:p>
        </w:tc>
        <w:tc>
          <w:tcPr>
            <w:tcW w:type="dxa" w:w="6973"/>
            <w:shd w:fill="E8F1EE"/>
          </w:tcPr>
          <w:p>
            <w:pPr>
              <w:spacing w:after="120" w:before="120"/>
            </w:pPr>
            <w:r>
              <w:rPr>
                <w:b/>
                <w:sz w:val="20"/>
              </w:rPr>
              <w:t>Ênfase da Okestre IA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120" w:before="120"/>
            </w:pPr>
            <w:r>
              <w:rPr>
                <w:sz w:val="20"/>
              </w:rPr>
              <w:t>Assistente de conversa</w:t>
            </w:r>
          </w:p>
        </w:tc>
        <w:tc>
          <w:tcPr>
            <w:tcW w:type="dxa" w:w="6973"/>
          </w:tcPr>
          <w:p>
            <w:pPr>
              <w:spacing w:after="120" w:before="120"/>
            </w:pPr>
            <w:r>
              <w:rPr>
                <w:sz w:val="20"/>
              </w:rPr>
              <w:t>Executar ações no projeto e apresentar evidências do resultado, além de responder.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120" w:before="120"/>
            </w:pPr>
            <w:r>
              <w:rPr>
                <w:sz w:val="20"/>
              </w:rPr>
              <w:t>IDE e copiloto</w:t>
            </w:r>
          </w:p>
        </w:tc>
        <w:tc>
          <w:tcPr>
            <w:tcW w:type="dxa" w:w="6973"/>
          </w:tcPr>
          <w:p>
            <w:pPr>
              <w:spacing w:after="120" w:before="120"/>
            </w:pPr>
            <w:r>
              <w:rPr>
                <w:sz w:val="20"/>
              </w:rPr>
              <w:t>Conectar definição de negócio, documentação e implementação em um fluxo de entrega.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120" w:before="120"/>
            </w:pPr>
            <w:r>
              <w:rPr>
                <w:sz w:val="20"/>
              </w:rPr>
              <w:t>Automação de tarefas</w:t>
            </w:r>
          </w:p>
        </w:tc>
        <w:tc>
          <w:tcPr>
            <w:tcW w:type="dxa" w:w="6973"/>
          </w:tcPr>
          <w:p>
            <w:pPr>
              <w:spacing w:after="120" w:before="120"/>
            </w:pPr>
            <w:r>
              <w:rPr>
                <w:sz w:val="20"/>
              </w:rPr>
              <w:t>Interpretar a demanda dentro de limites definidos e lidar com exceções por supervisão.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120" w:before="120"/>
            </w:pPr>
            <w:r>
              <w:rPr>
                <w:sz w:val="20"/>
              </w:rPr>
              <w:t>Serviço profissional tradicional</w:t>
            </w:r>
          </w:p>
        </w:tc>
        <w:tc>
          <w:tcPr>
            <w:tcW w:type="dxa" w:w="6973"/>
          </w:tcPr>
          <w:p>
            <w:pPr>
              <w:spacing w:after="120" w:before="120"/>
            </w:pPr>
            <w:r>
              <w:rPr>
                <w:sz w:val="20"/>
              </w:rPr>
              <w:t>Tornar partes da análise, documentação e execução repetíveis por software, com aceite explícito.</w:t>
            </w:r>
          </w:p>
        </w:tc>
      </w:tr>
    </w:tbl>
    <w:p>
      <w:pPr>
        <w:pStyle w:val="Heading2"/>
      </w:pPr>
      <w:r>
        <w:t>Princípios da experiência</w:t>
      </w:r>
    </w:p>
    <w:p>
      <w:r>
        <w:t>O usuário começa pelo resultado desejado. A plataforma informa o escopo, executa as ações permitidas e apresenta o que mudou. Dúvidas, bloqueios e falhas aparecem no fluxo. Uma tarefa só é concluída quando satisfaz os critérios combinados; encerrar a conversa não equivale a entregar o trabalho.</w:t>
      </w:r>
    </w:p>
    <w:p>
      <w:r>
        <w:br w:type="page"/>
      </w:r>
    </w:p>
    <w:p>
      <w:pPr>
        <w:pStyle w:val="Heading1"/>
      </w:pPr>
      <w:r>
        <w:t>Negócio e documentação no centro da entrega</w:t>
      </w:r>
    </w:p>
    <w:p>
      <w:pPr>
        <w:pStyle w:val="Heading2"/>
      </w:pPr>
      <w:r>
        <w:t>Estruturação de negócio</w:t>
      </w:r>
    </w:p>
    <w:p>
      <w:r>
        <w:t>A Okestre IA deve apoiar a transformação de uma necessidade em uma iniciativa executável: organizar o problema, os objetivos, o público envolvido, a proposta de valor, o escopo e as prioridades. Essas entregas orientam o trabalho seguinte e podem gerar valor por si mesmas, mesmo quando não há desenvolvimento de software.</w:t>
      </w:r>
    </w:p>
    <w:p>
      <w:pPr>
        <w:pStyle w:val="Heading2"/>
      </w:pPr>
      <w:r>
        <w:t>Documentação como entrega e contexto</w:t>
      </w:r>
    </w:p>
    <w:p>
      <w:r>
        <w:t>A documentação é uma frente de trabalho própria e também a base que conecta as demais etapas. Briefings, análises, propostas, requisitos, planos, procedimentos e relatórios registram decisões e orientam a execução. Sua qualidade depende de clareza, consistência, rastreabilidade e revisão pelo responsável.</w:t>
      </w:r>
    </w:p>
    <w:p>
      <w:r>
        <w:t>O posicionamento deve contemplar criação, revisão, organização e atualização de documentos. Uma mudança de objetivo ou escopo precisa ser refletida nos documentos e nas tarefas relacionadas, evitando que a execução siga orientações desatualizadas.</w:t>
      </w:r>
    </w:p>
    <w:p>
      <w:pPr>
        <w:pStyle w:val="Heading2"/>
      </w:pPr>
      <w:r>
        <w:t>Processos e planejamento</w:t>
      </w:r>
    </w:p>
    <w:p>
      <w:r>
        <w:t>A plataforma deve conectar a definição do negócio ao planejamento operacional: mapear etapas, responsabilidades, dependências, estimativas e critérios de aceite. A IA pode preparar e executar atividades delimitadas; as pessoas validam premissas e tomam as decisões que exigem julgamento e responsabilidade.</w:t>
      </w:r>
    </w:p>
    <w:p>
      <w:pPr>
        <w:pStyle w:val="Heading2"/>
      </w:pPr>
      <w:r>
        <w:t>Três frentes conectadas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855"/>
      </w:tblGrid>
      <w:tr>
        <w:trPr>
          <w:cantSplit/>
        </w:trPr>
        <w:tc>
          <w:tcPr>
            <w:tcW w:type="dxa" w:w="1701"/>
            <w:shd w:fill="E8F1EE"/>
          </w:tcPr>
          <w:p>
            <w:pPr>
              <w:spacing w:after="120" w:before="120"/>
            </w:pPr>
            <w:r>
              <w:rPr>
                <w:b/>
                <w:sz w:val="20"/>
              </w:rPr>
              <w:t>Frente</w:t>
            </w:r>
          </w:p>
        </w:tc>
        <w:tc>
          <w:tcPr>
            <w:tcW w:type="dxa" w:w="3969"/>
            <w:shd w:fill="E8F1EE"/>
          </w:tcPr>
          <w:p>
            <w:pPr>
              <w:spacing w:after="120" w:before="120"/>
            </w:pPr>
            <w:r>
              <w:rPr>
                <w:b/>
                <w:sz w:val="20"/>
              </w:rPr>
              <w:t>Entregas possíveis</w:t>
            </w:r>
          </w:p>
        </w:tc>
        <w:tc>
          <w:tcPr>
            <w:tcW w:type="dxa" w:w="3855"/>
            <w:shd w:fill="E8F1EE"/>
          </w:tcPr>
          <w:p>
            <w:pPr>
              <w:spacing w:after="120" w:before="120"/>
            </w:pPr>
            <w:r>
              <w:rPr>
                <w:b/>
                <w:sz w:val="20"/>
              </w:rPr>
              <w:t>Validação esperada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20" w:before="120"/>
            </w:pPr>
            <w:r>
              <w:rPr>
                <w:sz w:val="20"/>
              </w:rPr>
              <w:t>Negócio</w:t>
            </w:r>
          </w:p>
        </w:tc>
        <w:tc>
          <w:tcPr>
            <w:tcW w:type="dxa" w:w="3969"/>
          </w:tcPr>
          <w:p>
            <w:pPr>
              <w:spacing w:after="120" w:before="120"/>
            </w:pPr>
            <w:r>
              <w:rPr>
                <w:sz w:val="20"/>
              </w:rPr>
              <w:t>Diagnóstico, escopo, proposta e prioridades</w:t>
            </w:r>
          </w:p>
        </w:tc>
        <w:tc>
          <w:tcPr>
            <w:tcW w:type="dxa" w:w="3855"/>
          </w:tcPr>
          <w:p>
            <w:pPr>
              <w:spacing w:after="120" w:before="120"/>
            </w:pPr>
            <w:r>
              <w:rPr>
                <w:sz w:val="20"/>
              </w:rPr>
              <w:t>Coerência com o objetivo e decisão do responsável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20" w:before="120"/>
            </w:pPr>
            <w:r>
              <w:rPr>
                <w:sz w:val="20"/>
              </w:rPr>
              <w:t>Documentação</w:t>
            </w:r>
          </w:p>
        </w:tc>
        <w:tc>
          <w:tcPr>
            <w:tcW w:type="dxa" w:w="3969"/>
          </w:tcPr>
          <w:p>
            <w:pPr>
              <w:spacing w:after="120" w:before="120"/>
            </w:pPr>
            <w:r>
              <w:rPr>
                <w:sz w:val="20"/>
              </w:rPr>
              <w:t>Requisitos, planos, procedimentos e relatórios</w:t>
            </w:r>
          </w:p>
        </w:tc>
        <w:tc>
          <w:tcPr>
            <w:tcW w:type="dxa" w:w="3855"/>
          </w:tcPr>
          <w:p>
            <w:pPr>
              <w:spacing w:after="120" w:before="120"/>
            </w:pPr>
            <w:r>
              <w:rPr>
                <w:sz w:val="20"/>
              </w:rPr>
              <w:t>Clareza, consistência e revisão do conteúdo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20" w:before="120"/>
            </w:pPr>
            <w:r>
              <w:rPr>
                <w:sz w:val="20"/>
              </w:rPr>
              <w:t>Tecnologia</w:t>
            </w:r>
          </w:p>
        </w:tc>
        <w:tc>
          <w:tcPr>
            <w:tcW w:type="dxa" w:w="3969"/>
          </w:tcPr>
          <w:p>
            <w:pPr>
              <w:spacing w:after="120" w:before="120"/>
            </w:pPr>
            <w:r>
              <w:rPr>
                <w:sz w:val="20"/>
              </w:rPr>
              <w:t>Implementações, correções e configuração</w:t>
            </w:r>
          </w:p>
        </w:tc>
        <w:tc>
          <w:tcPr>
            <w:tcW w:type="dxa" w:w="3855"/>
          </w:tcPr>
          <w:p>
            <w:pPr>
              <w:spacing w:after="120" w:before="120"/>
            </w:pPr>
            <w:r>
              <w:rPr>
                <w:sz w:val="20"/>
              </w:rPr>
              <w:t>Comportamento, testes e resultado observado</w:t>
            </w:r>
          </w:p>
        </w:tc>
      </w:tr>
    </w:tbl>
    <w:p>
      <w:pPr>
        <w:pStyle w:val="Heading2"/>
      </w:pPr>
      <w:r>
        <w:t>Exemplo de jornada integrada</w:t>
      </w:r>
    </w:p>
    <w:p>
      <w:r>
        <w:t>Uma empresa quer organizar um novo serviço. O trabalho começa pela definição do público, do problema atendido e da oferta. Em seguida, são elaborados o processo operacional, a proposta e os requisitos. O plano de execução distribui atividades e critérios de aceite. Se houver necessidade de tecnologia, a implementação utiliza esse contexto; se a entrega for apenas de negócio ou documentação, o fluxo se encerra com sua validação.</w:t>
      </w:r>
    </w:p>
    <w:p>
      <w:r>
        <w:t>O valor está na continuidade entre intenção, decisão, documentação e execução. O catálogo comercial deve tornar explícito quais dessas entregas já estão disponíveis e validadas.</w:t>
      </w:r>
    </w:p>
    <w:p>
      <w:r>
        <w:br w:type="page"/>
      </w:r>
    </w:p>
    <w:p>
      <w:pPr>
        <w:pStyle w:val="Heading1"/>
      </w:pPr>
      <w:r>
        <w:t>Oferta e modelo de entrega</w:t>
      </w:r>
    </w:p>
    <w:p>
      <w:pPr>
        <w:pStyle w:val="Heading2"/>
      </w:pPr>
      <w:r>
        <w:t>Unidade de trabalho</w:t>
      </w:r>
    </w:p>
    <w:p>
      <w:r>
        <w:t>Cada entrega deve ter uma demanda identificada, contexto disponível, recursos autorizados, limites de execução e critérios de aceite. Ao concluir, a Okestre IA apresenta os artefatos produzidos, as alterações realizadas, as verificações executadas e eventuais pendências.</w:t>
      </w:r>
    </w:p>
    <w:p>
      <w:pPr>
        <w:pStyle w:val="Heading2"/>
      </w:pPr>
      <w:r>
        <w:t>Ciclo de execução supervisionada</w:t>
      </w:r>
    </w:p>
    <w:p>
      <w:r>
        <w:t>1. Definir a demanda e o resultado esperado.</w:t>
        <w:br/>
        <w:t>2. Reunir contexto e confirmar o escopo operacional.</w:t>
        <w:br/>
        <w:t>3. Executar as etapas autorizadas com registro das ações.</w:t>
        <w:br/>
        <w:t>4. Validar o resultado e apresentar evidências.</w:t>
        <w:br/>
        <w:t>5. Obter aceite ou retornar para ajustes.</w:t>
      </w:r>
    </w:p>
    <w:p>
      <w:pPr>
        <w:pStyle w:val="Heading2"/>
      </w:pPr>
      <w:r>
        <w:t>Ofertas iniciais candidatas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6520"/>
      </w:tblGrid>
      <w:tr>
        <w:trPr>
          <w:cantSplit/>
        </w:trPr>
        <w:tc>
          <w:tcPr>
            <w:tcW w:type="dxa" w:w="3005"/>
            <w:shd w:fill="E8F1EE"/>
          </w:tcPr>
          <w:p>
            <w:pPr>
              <w:spacing w:after="120" w:before="120"/>
            </w:pPr>
            <w:r>
              <w:rPr>
                <w:b/>
                <w:sz w:val="20"/>
              </w:rPr>
              <w:t>Entrega</w:t>
            </w:r>
          </w:p>
        </w:tc>
        <w:tc>
          <w:tcPr>
            <w:tcW w:type="dxa" w:w="6520"/>
            <w:shd w:fill="E8F1EE"/>
          </w:tcPr>
          <w:p>
            <w:pPr>
              <w:spacing w:after="120" w:before="120"/>
            </w:pPr>
            <w:r>
              <w:rPr>
                <w:b/>
                <w:sz w:val="20"/>
              </w:rPr>
              <w:t>Critério de aceite sugerido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120" w:before="120"/>
            </w:pPr>
            <w:r>
              <w:rPr>
                <w:sz w:val="20"/>
              </w:rPr>
              <w:t>Estruturação de negócio</w:t>
            </w:r>
          </w:p>
        </w:tc>
        <w:tc>
          <w:tcPr>
            <w:tcW w:type="dxa" w:w="6520"/>
          </w:tcPr>
          <w:p>
            <w:pPr>
              <w:spacing w:after="120" w:before="120"/>
            </w:pPr>
            <w:r>
              <w:rPr>
                <w:sz w:val="20"/>
              </w:rPr>
              <w:t>Objetivo, problema, escopo e prioridades documentados e aprovados.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120" w:before="120"/>
            </w:pPr>
            <w:r>
              <w:rPr>
                <w:sz w:val="20"/>
              </w:rPr>
              <w:t>Documentação e processos</w:t>
            </w:r>
          </w:p>
        </w:tc>
        <w:tc>
          <w:tcPr>
            <w:tcW w:type="dxa" w:w="6520"/>
          </w:tcPr>
          <w:p>
            <w:pPr>
              <w:spacing w:after="120" w:before="120"/>
            </w:pPr>
            <w:r>
              <w:rPr>
                <w:sz w:val="20"/>
              </w:rPr>
              <w:t>Documentos coerentes, etapas e responsáveis definidos e revisão concluída.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120" w:before="120"/>
            </w:pPr>
            <w:r>
              <w:rPr>
                <w:sz w:val="20"/>
              </w:rPr>
              <w:t>Planejamento de projeto</w:t>
            </w:r>
          </w:p>
        </w:tc>
        <w:tc>
          <w:tcPr>
            <w:tcW w:type="dxa" w:w="6520"/>
          </w:tcPr>
          <w:p>
            <w:pPr>
              <w:spacing w:after="120" w:before="120"/>
            </w:pPr>
            <w:r>
              <w:rPr>
                <w:sz w:val="20"/>
              </w:rPr>
              <w:t>Requisitos, tarefas, estimativas e critérios de aceite consistentes.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120" w:before="120"/>
            </w:pPr>
            <w:r>
              <w:rPr>
                <w:sz w:val="20"/>
              </w:rPr>
              <w:t>Implementação técnica</w:t>
            </w:r>
          </w:p>
        </w:tc>
        <w:tc>
          <w:tcPr>
            <w:tcW w:type="dxa" w:w="6520"/>
          </w:tcPr>
          <w:p>
            <w:pPr>
              <w:spacing w:after="120" w:before="120"/>
            </w:pPr>
            <w:r>
              <w:rPr>
                <w:sz w:val="20"/>
              </w:rPr>
              <w:t>Comportamento ou correção validado nos cenários e ambiente acordados.</w:t>
            </w:r>
          </w:p>
        </w:tc>
      </w:tr>
    </w:tbl>
    <w:p>
      <w:r>
        <w:t>Essas ofertas devem entrar no catálogo conforme cada fluxo for validado. Uma entrega pode terminar com bloqueio documentado; nesse caso, seu estado e tratamento comercial precisam ser claros.</w:t>
      </w:r>
    </w:p>
    <w:p>
      <w:pPr>
        <w:pStyle w:val="Heading2"/>
      </w:pPr>
      <w:r>
        <w:t>Direção comercial</w:t>
      </w:r>
    </w:p>
    <w:p>
      <w:r>
        <w:t>A proposta comercial deve dar destaque ao escopo das entregas e à responsabilidade assumida. Um modelo possível combina capacidade mensal de execução com unidades de trabalho aceitas. A cobrança por entrega é uma hipótese a validar, especialmente quando complexidade, infraestrutura e dependências externas variam.</w:t>
      </w:r>
    </w:p>
    <w:p>
      <w:r>
        <w:t>Antes de fixar preços, definir o que constitui uma entrega, quais revisões estão incluídas, como mudanças de escopo são tratadas e quem aprova o resultado. Consumo de modelos é um custo operacional; não substitui a definição de valor para o cliente.</w:t>
      </w:r>
    </w:p>
    <w:p>
      <w:pPr>
        <w:pStyle w:val="Heading2"/>
      </w:pPr>
      <w:r>
        <w:t>Indicadores para comprovar valor</w:t>
      </w:r>
    </w:p>
    <w:p>
      <w:r>
        <w:t>Acompanhar tempo entre demanda e aceite, taxa de aceite na primeira revisão, retrabalho, tempo de supervisão humana e custo por entrega aceita. Medir também falhas e intervenções. Comparar tarefas de complexidade semelhante antes de afirmar ganhos de produtividade.</w:t>
      </w:r>
    </w:p>
    <w:p>
      <w:r>
        <w:br w:type="page"/>
      </w:r>
    </w:p>
    <w:p>
      <w:pPr>
        <w:pStyle w:val="Heading1"/>
      </w:pPr>
      <w:r>
        <w:t>Comunicação e evolução do produto</w:t>
      </w:r>
    </w:p>
    <w:p>
      <w:pPr>
        <w:pStyle w:val="Heading2"/>
      </w:pPr>
      <w:r>
        <w:t>Mensagem principal</w:t>
      </w:r>
    </w:p>
    <w:p>
      <w:r>
        <w:t>A Okestre IA conecta negócio, documentação e tecnologia para transformar demandas em entregas executadas por IA, com supervisão humana e resultados verificáveis.</w:t>
      </w:r>
    </w:p>
    <w:p>
      <w:pPr>
        <w:pStyle w:val="Heading2"/>
      </w:pPr>
      <w:r>
        <w:t>Apresentação institucional</w:t>
      </w:r>
    </w:p>
    <w:p>
      <w:r>
        <w:t>A Okestre IA está sendo desenvolvida para conectar objetivos de negócio à elaboração de documentos e à execução operacional e técnica por agentes de IA. A proposta reúne contexto, planejamento, processos, ferramentas e validação em um fluxo supervisionado, no qual pessoas definem prioridades, acompanham mudanças e aprovam entregas. Seu foco é o trabalho concluído com evidências.</w:t>
      </w:r>
    </w:p>
    <w:p>
      <w:pPr>
        <w:pStyle w:val="Heading2"/>
      </w:pPr>
      <w:r>
        <w:t>Mensagem para página comercial</w:t>
      </w:r>
    </w:p>
    <w:p>
      <w:r>
        <w:t>Título sugerido: Da demanda à entrega com IA supervisionada.</w:t>
        <w:br/>
        <w:t>Texto de apoio: Estruture o negócio, organize a documentação e acompanhe a execução com critérios claros de entrega.</w:t>
        <w:br/>
        <w:t>Chamada para ação: Escolha um fluxo para validar com a Okestre IA.</w:t>
      </w:r>
    </w:p>
    <w:p>
      <w:pPr>
        <w:pStyle w:val="Heading2"/>
      </w:pPr>
      <w:r>
        <w:t>Como expressar a promessa</w:t>
      </w:r>
    </w:p>
    <w:p>
      <w:r>
        <w:t>Usar verbos concretos: executar, revisar, testar, registrar e validar. Explicar quais tarefas o produto atende e onde a supervisão entra. Evitar prometer autonomia total, ausência de erros, substituição integral da equipe ou redução de custo sem medição. A promessa deve acompanhar a capacidade demonstrada em cada fluxo.</w:t>
      </w:r>
    </w:p>
    <w:p>
      <w:pPr>
        <w:pStyle w:val="Heading2"/>
      </w:pPr>
      <w:r>
        <w:t>Base atual e direção de evolução</w:t>
      </w:r>
    </w:p>
    <w:p>
      <w:r>
        <w:t>O escopo da Okestre IA abrange negócio e documentação, além da execução técnica. A base analisada inclui documentos, requisitos, tarefas, estimativas e recursos de projeto, com ferramentas de arquivos, Git, QA e infraestrutura e um agente próprio. Sua confiabilidade ainda precisa ser validada por fluxo. Foi planejada a substituição do motor atual pelo Agents SDK; essa substituição não foi implementada nesta etapa.</w:t>
      </w:r>
    </w:p>
    <w:p>
      <w:r>
        <w:t>A evolução deve priorizar ferramentas confiáveis, sessões persistidas, estados de execução claros, aprovações e evidências de conclusão. O SDK é uma decisão técnica de suporte à proposta. O argumento comercial é a capacidade de concluir trabalho sob supervisão, comprovada no produto.</w:t>
      </w:r>
    </w:p>
    <w:p>
      <w:pPr>
        <w:pStyle w:val="Heading2"/>
      </w:pPr>
      <w:r>
        <w:t>Condição para sustentar o posicionamento</w:t>
      </w:r>
    </w:p>
    <w:p>
      <w:r>
        <w:t>Começar com um conjunto restrito de entregas que funcione de ponta a ponta. Ampliar o catálogo após validar execução, recuperação de falhas e aceite. A marca ganha credibilidade quando cada entrega anunciada corresponde a um fluxo demonstrável e quando limites e pendências são comunicados com precisão.</w:t>
      </w:r>
    </w:p>
    <w:p>
      <w:r>
        <w:t>Diretriz de marca: IA executa. Pessoas supervisionam. O resultado é validado.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Posicionamento da Okestre IA</dc:title>
  <dc:subject>Direção de marca e proposta de valor</dc:subject>
  <dc:creator>Okestre 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