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i/>
          <w:iCs/>
          <w:color w:val="666666"/>
          <w:sz w:val="20"/>
          <w:szCs w:val="20"/>
        </w:rPr>
        <w:t xml:space="preserve">OPSFLUENCY SOP TEMPLATE</w:t>
      </w:r>
    </w:p>
    <w:p>
      <w:pPr>
        <w:spacing w:after="120" w:before="0"/>
        <w:jc w:val="center"/>
      </w:pPr>
      <w:r>
        <w:rPr>
          <w:b/>
          <w:bCs/>
          <w:sz w:val="32"/>
          <w:szCs w:val="32"/>
        </w:rPr>
        <w:t xml:space="preserve">FORKLIFT PRE-SHIFT INSPECTION</w:t>
      </w:r>
    </w:p>
    <w:p>
      <w:pPr>
        <w:spacing w:after="120" w:before="0"/>
        <w:jc w:val="center"/>
      </w:pPr>
      <w:r>
        <w:rPr>
          <w:i/>
          <w:iCs/>
          <w:color w:val="444444"/>
          <w:sz w:val="22"/>
          <w:szCs w:val="22"/>
        </w:rPr>
        <w:t xml:space="preserve">Safety SOP — Powered Industrial Equipment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Document Number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SAF-001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Department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[DEPARTMENT NAME]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Revision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Rev. 1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Effective Date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[DATE]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Approved By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[NAME, TITLE]</w:t>
            </w:r>
          </w:p>
        </w:tc>
      </w:tr>
      <w:tr>
        <w:tc>
          <w:tcPr>
            <w:tcW w:type="pct" w:w="35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Review Cycle</w:t>
            </w:r>
          </w:p>
        </w:tc>
        <w:tc>
          <w:tcPr>
            <w:tcW w:type="pct" w:w="65%"/>
          </w:tcPr>
          <w:p>
            <w:r>
              <w:rPr>
                <w:sz w:val="24"/>
                <w:szCs w:val="24"/>
              </w:rPr>
              <w:t xml:space="preserve">Annual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3F4F6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PURPOSE: </w:t>
            </w:r>
            <w:r>
              <w:rPr>
                <w:sz w:val="24"/>
                <w:szCs w:val="24"/>
              </w:rPr>
              <w:t xml:space="preserve">Every forklift operator must complete this inspection before operating any forklift unit. A forklift that fails any item on this inspection must be taken out of service immediately. Do not operate a tagged-out forklift under any circumstances, including moving it short distances.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1. BEFORE YOU BEGIN</w:t>
      </w:r>
    </w:p>
    <w:p>
      <w:pPr>
        <w:spacing w:after="120"/>
      </w:pPr>
      <w:r>
        <w:rPr>
          <w:sz w:val="24"/>
          <w:szCs w:val="24"/>
        </w:rPr>
        <w:t xml:space="preserve">Gather the following before starting the inspection: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This inspection form (or the digital version in [SYSTEM / APP NAME])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Your operator certification card — you must be a certified operator to complete this inspection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4"/>
          <w:szCs w:val="24"/>
        </w:rPr>
        <w:t xml:space="preserve">A functional flashlight if inspecting in low-light areas</w:t>
      </w:r>
    </w:p>
    <w:p>
      <w:pPr>
        <w:spacing w:after="80"/>
      </w:pPr>
    </w:p>
    <w:p>
      <w:pPr>
        <w:spacing w:after="120"/>
      </w:pPr>
      <w:r>
        <w:rPr>
          <w:sz w:val="24"/>
          <w:szCs w:val="24"/>
        </w:rPr>
        <w:t xml:space="preserve">Park the forklift on a level surface with forks fully lowered and tilt back to neutral. Set the parking brake. Turn the ignition OFF before the physical inspection begins.</w:t>
      </w:r>
    </w:p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2. VISUAL INSPECTION</w:t>
      </w:r>
    </w:p>
    <w:p>
      <w:pPr>
        <w:spacing w:after="120"/>
      </w:pPr>
      <w:r>
        <w:rPr>
          <w:sz w:val="24"/>
          <w:szCs w:val="24"/>
        </w:rPr>
        <w:t xml:space="preserve">Walk around the unit and check each item. Mark Pass (P), Fail (F), or Not Applicable (N/A). Any Fail must be explained in the Notes section below.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Item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Check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P / F / N/A</w:t>
            </w:r>
          </w:p>
        </w:tc>
        <w:tc>
          <w:tcPr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Notes</w:t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Tires / Wheels</w:t>
            </w:r>
          </w:p>
        </w:tc>
        <w:tc>
          <w:p>
            <w:r>
              <w:rPr>
                <w:sz w:val="24"/>
                <w:szCs w:val="24"/>
              </w:rPr>
              <w:t xml:space="preserve">No cuts, chunking, or flat spots; lug nuts present and tight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Forks</w:t>
            </w:r>
          </w:p>
        </w:tc>
        <w:tc>
          <w:p>
            <w:r>
              <w:rPr>
                <w:sz w:val="24"/>
                <w:szCs w:val="24"/>
              </w:rPr>
              <w:t xml:space="preserve">No cracks, bends, or welds; tine height is even (within ¼ inch)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Carriage &amp; Mast</w:t>
            </w:r>
          </w:p>
        </w:tc>
        <w:tc>
          <w:p>
            <w:r>
              <w:rPr>
                <w:sz w:val="24"/>
                <w:szCs w:val="24"/>
              </w:rPr>
              <w:t xml:space="preserve">Rails straight; chains not kinked or stretched; no visible cracks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Overhead Guard</w:t>
            </w:r>
          </w:p>
        </w:tc>
        <w:tc>
          <w:p>
            <w:r>
              <w:rPr>
                <w:sz w:val="24"/>
                <w:szCs w:val="24"/>
              </w:rPr>
              <w:t xml:space="preserve">Intact, secure, no bent or missing bars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Backrest Extension</w:t>
            </w:r>
          </w:p>
        </w:tc>
        <w:tc>
          <w:p>
            <w:r>
              <w:rPr>
                <w:sz w:val="24"/>
                <w:szCs w:val="24"/>
              </w:rPr>
              <w:t xml:space="preserve">Present and properly seated if required for load type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Battery / Fuel</w:t>
            </w:r>
          </w:p>
        </w:tc>
        <w:tc>
          <w:p>
            <w:r>
              <w:rPr>
                <w:sz w:val="24"/>
                <w:szCs w:val="24"/>
              </w:rPr>
              <w:t xml:space="preserve">Charge ≥ 20% (electric) or fuel level adequate; no leaks visible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Hydraulic Lines</w:t>
            </w:r>
          </w:p>
        </w:tc>
        <w:tc>
          <w:p>
            <w:r>
              <w:rPr>
                <w:sz w:val="24"/>
                <w:szCs w:val="24"/>
              </w:rPr>
              <w:t xml:space="preserve">No visible leaks; hoses not frayed or rubbing on metal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Engine / Motor Area</w:t>
            </w:r>
          </w:p>
        </w:tc>
        <w:tc>
          <w:p>
            <w:r>
              <w:rPr>
                <w:sz w:val="24"/>
                <w:szCs w:val="24"/>
              </w:rPr>
              <w:t xml:space="preserve">No fluid puddles under unit; no unusual odors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Nameplate &amp; Warnings</w:t>
            </w:r>
          </w:p>
        </w:tc>
        <w:tc>
          <w:p>
            <w:r>
              <w:rPr>
                <w:sz w:val="24"/>
                <w:szCs w:val="24"/>
              </w:rPr>
              <w:t xml:space="preserve">Legible; capacity plate matches the unit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Seatbelt / Restraint</w:t>
            </w:r>
          </w:p>
        </w:tc>
        <w:tc>
          <w:p>
            <w:r>
              <w:rPr>
                <w:sz w:val="24"/>
                <w:szCs w:val="24"/>
              </w:rPr>
              <w:t xml:space="preserve">Present, latches and releases cleanly, webbing not frayed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Lights (if equipped)</w:t>
            </w:r>
          </w:p>
        </w:tc>
        <w:tc>
          <w:p>
            <w:r>
              <w:rPr>
                <w:sz w:val="24"/>
                <w:szCs w:val="24"/>
              </w:rPr>
              <w:t xml:space="preserve">Head, tail, and strobe lights all functional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  <w:tr>
        <w:tc>
          <w:p>
            <w:r>
              <w:rPr>
                <w:sz w:val="24"/>
                <w:szCs w:val="24"/>
              </w:rPr>
              <w:t xml:space="preserve">Horn</w:t>
            </w:r>
          </w:p>
        </w:tc>
        <w:tc>
          <w:p>
            <w:r>
              <w:rPr>
                <w:sz w:val="24"/>
                <w:szCs w:val="24"/>
              </w:rPr>
              <w:t xml:space="preserve">Audible at 10 feet</w:t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  <w:tc>
          <w:p>
            <w:r>
              <w:rPr>
                <w:sz w:val="24"/>
                <w:szCs w:val="24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3. OPERATIONAL CHECK (engine running)</w:t>
      </w:r>
    </w:p>
    <w:p>
      <w:pPr>
        <w:spacing w:after="120"/>
      </w:pPr>
      <w:r>
        <w:rPr>
          <w:sz w:val="24"/>
          <w:szCs w:val="24"/>
        </w:rPr>
        <w:t xml:space="preserve">Start the unit and perform the following checks with the engine or motor running. Keep forks low and remain in a clear, open area.</w:t>
      </w:r>
    </w:p>
    <w:p>
      <w:pPr>
        <w:spacing w:after="80"/>
      </w:pP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1.  </w:t>
      </w:r>
      <w:r>
        <w:rPr>
          <w:sz w:val="24"/>
          <w:szCs w:val="24"/>
        </w:rPr>
        <w:t xml:space="preserve">Steering: Turn the wheel lock-to-lock in both directions. Confirm smooth, responsive steering with no binding.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2.  </w:t>
      </w:r>
      <w:r>
        <w:rPr>
          <w:sz w:val="24"/>
          <w:szCs w:val="24"/>
        </w:rPr>
        <w:t xml:space="preserve">Service brakes: Drive slowly and apply brakes firmly. Confirm the unit stops squarely with no pull to one side.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3.  </w:t>
      </w:r>
      <w:r>
        <w:rPr>
          <w:sz w:val="24"/>
          <w:szCs w:val="24"/>
        </w:rPr>
        <w:t xml:space="preserve">Parking brake: Apply the parking brake and confirm the unit does not roll on a level surface.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4.  </w:t>
      </w:r>
      <w:r>
        <w:rPr>
          <w:sz w:val="24"/>
          <w:szCs w:val="24"/>
        </w:rPr>
        <w:t xml:space="preserve">Lift and lower: Raise forks to maximum height and lower to floor. Confirm smooth movement with no hesitation or jerking.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5.  </w:t>
      </w:r>
      <w:r>
        <w:rPr>
          <w:sz w:val="24"/>
          <w:szCs w:val="24"/>
        </w:rPr>
        <w:t xml:space="preserve">Tilt: Tilt mast forward and back through full range. Confirm smooth, controlled movement.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6.  </w:t>
      </w:r>
      <w:r>
        <w:rPr>
          <w:sz w:val="24"/>
          <w:szCs w:val="24"/>
        </w:rPr>
        <w:t xml:space="preserve">Horn: Press the horn and confirm it sounds clearly.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7.  </w:t>
      </w:r>
      <w:r>
        <w:rPr>
          <w:sz w:val="24"/>
          <w:szCs w:val="24"/>
        </w:rPr>
        <w:t xml:space="preserve">[SITE-SPECIFIC CHECK — e.g., Side shift function: confirm even left/right movement with no binding.]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E5E5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DANGER: </w:t>
            </w:r>
            <w:r>
              <w:rPr>
                <w:sz w:val="24"/>
                <w:szCs w:val="24"/>
              </w:rPr>
              <w:t xml:space="preserve">Do not operate the forklift if brakes feel spongy, if steering is unresponsive, or if any hydraulic function is sluggish or inoperative. Tag the unit and notify your supervisor.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4. OUT-OF-SERVICE PROTOCOL</w:t>
      </w:r>
    </w:p>
    <w:p>
      <w:pPr>
        <w:spacing w:after="120"/>
      </w:pPr>
      <w:r>
        <w:rPr>
          <w:sz w:val="24"/>
          <w:szCs w:val="24"/>
        </w:rPr>
        <w:t xml:space="preserve">If the unit fails any item in Section 2 or Section 3: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1.  </w:t>
      </w:r>
      <w:r>
        <w:rPr>
          <w:sz w:val="24"/>
          <w:szCs w:val="24"/>
        </w:rPr>
        <w:t xml:space="preserve">Park the unit in a safe, out-of-traffic location.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2.  </w:t>
      </w:r>
      <w:r>
        <w:rPr>
          <w:sz w:val="24"/>
          <w:szCs w:val="24"/>
        </w:rPr>
        <w:t xml:space="preserve">Apply an OUT OF SERVICE tag to the key or steering wheel — do not leave the tag in your pocket.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3.  </w:t>
      </w:r>
      <w:r>
        <w:rPr>
          <w:sz w:val="24"/>
          <w:szCs w:val="24"/>
        </w:rPr>
        <w:t xml:space="preserve">Tag location: [DESCRIBE WHERE TAGS ARE STORED — e.g., Safety board near the Equipment Room entrance].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4.  </w:t>
      </w:r>
      <w:r>
        <w:rPr>
          <w:sz w:val="24"/>
          <w:szCs w:val="24"/>
        </w:rPr>
        <w:t xml:space="preserve">Notify your supervisor immediately. Do not move or operate the unit until it has been inspected and cleared by [AUTHORIZED PERSON / TITLE].</w:t>
      </w:r>
    </w:p>
    <w:p>
      <w:pPr>
        <w:spacing w:after="100"/>
        <w:ind w:left="360"/>
      </w:pPr>
      <w:r>
        <w:rPr>
          <w:b/>
          <w:bCs/>
          <w:sz w:val="24"/>
          <w:szCs w:val="24"/>
        </w:rPr>
        <w:t xml:space="preserve">5.  </w:t>
      </w:r>
      <w:r>
        <w:rPr>
          <w:sz w:val="24"/>
          <w:szCs w:val="24"/>
        </w:rPr>
        <w:t xml:space="preserve">Record the deficiency in the equipment defect log at [LOCATION / SYSTEM NAME].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3CD" w:val="solid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</w:rPr>
              <w:t xml:space="preserve">WARNING: </w:t>
            </w:r>
            <w:r>
              <w:rPr>
                <w:sz w:val="24"/>
                <w:szCs w:val="24"/>
              </w:rPr>
              <w:t xml:space="preserve">Operating a forklift that has been tagged OUT OF SERVICE is a serious safety violation and may result in disciplinary action up to and including termination.</w:t>
            </w:r>
          </w:p>
        </w:tc>
      </w:tr>
    </w:tbl>
    <w:p>
      <w:pPr>
        <w:spacing w:after="8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5. INSPECTION LOG AND SIGN-OFF</w:t>
      </w:r>
    </w:p>
    <w:p>
      <w:pPr>
        <w:spacing w:after="120"/>
      </w:pPr>
      <w:r>
        <w:rPr>
          <w:sz w:val="24"/>
          <w:szCs w:val="24"/>
        </w:rPr>
        <w:t xml:space="preserve">Complete after every inspection. Both operator and supervisor signatures are required before the first loaded operation of the shift.</w:t>
      </w:r>
    </w:p>
    <w:p>
      <w:pPr>
        <w:spacing w:after="8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Forklift Unit ID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Inspection Date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Shift Start Time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Operator Name (print)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Operator Signature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Overall Result:  PASS  /  FAIL  (circle one)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If FAIL — deficiency description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Supervisor Name (print)</w:t>
            </w:r>
          </w:p>
        </w:tc>
        <w:tc>
          <w:tcPr>
            <w:tcW w:type="pct" w:w="60%"/>
          </w:tcPr>
          <w:p/>
        </w:tc>
      </w:tr>
      <w:tr>
        <w:tc>
          <w:tcPr>
            <w:tcW w:type="pct" w:w="40%"/>
            <w:shd w:fill="F3F4F6" w:val="solid"/>
          </w:tcPr>
          <w:p>
            <w:r>
              <w:rPr>
                <w:b/>
                <w:bCs/>
                <w:sz w:val="24"/>
                <w:szCs w:val="24"/>
              </w:rPr>
              <w:t xml:space="preserve">Supervisor Signature</w:t>
            </w:r>
          </w:p>
        </w:tc>
        <w:tc>
          <w:tcPr>
            <w:tcW w:type="pct" w:w="60%"/>
          </w:tcPr>
          <w:p/>
        </w:tc>
      </w:tr>
    </w:tbl>
    <w:p>
      <w:pPr>
        <w:spacing w:after="80"/>
      </w:pPr>
    </w:p>
    <w:p>
      <w:pPr>
        <w:spacing w:after="0" w:before="400"/>
        <w:jc w:val="center"/>
      </w:pPr>
      <w:r>
        <w:rPr>
          <w:i/>
          <w:iCs/>
          <w:color w:val="999999"/>
          <w:sz w:val="18"/>
          <w:szCs w:val="18"/>
        </w:rPr>
        <w:t xml:space="preserve">OpsFluency SOP Template — download, edit, then upload at your OpsFluency dashboard.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2026-05-11T19:04:34.530Z</dcterms:created>
  <dcterms:modified xsi:type="dcterms:W3CDTF">2026-05-11T19:04:34.530Z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