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543" w:rsidRPr="00370450" w:rsidRDefault="00370450">
      <w:pPr>
        <w:rPr>
          <w:rFonts w:ascii="Times New Roman" w:hAnsi="Times New Roman" w:cs="Times New Roman"/>
          <w:sz w:val="36"/>
          <w:szCs w:val="36"/>
        </w:rPr>
      </w:pPr>
      <w:r>
        <w:rPr>
          <w:rFonts w:ascii="Times New Roman" w:hAnsi="Times New Roman" w:cs="Times New Roman"/>
          <w:sz w:val="36"/>
          <w:szCs w:val="36"/>
        </w:rPr>
        <w:t xml:space="preserve">Khái niệm </w:t>
      </w:r>
      <w:r>
        <w:rPr>
          <w:rFonts w:ascii="Times New Roman" w:hAnsi="Times New Roman" w:cs="Times New Roman"/>
          <w:sz w:val="36"/>
          <w:szCs w:val="36"/>
        </w:rPr>
        <w:br/>
        <w:t xml:space="preserve">Tia hồng ngoại là bức xạ điện từ có bước sóng dài hơn ánh sáng khả kiến nhưng ngắn hơn tia bức xạ vi ba. Tên “hồng ngoại” có nghĩa là “ngoài mức đỏ”, màu đỏ là màu có buwocs song dài nhất trong ánh sáng thường. </w:t>
      </w:r>
      <w:r w:rsidR="006B6543">
        <w:rPr>
          <w:rFonts w:ascii="Times New Roman" w:hAnsi="Times New Roman" w:cs="Times New Roman"/>
          <w:sz w:val="36"/>
          <w:szCs w:val="36"/>
        </w:rPr>
        <w:t xml:space="preserve"> </w:t>
      </w:r>
      <w:r w:rsidR="006B6543">
        <w:rPr>
          <w:rFonts w:ascii="Times New Roman" w:hAnsi="Times New Roman" w:cs="Times New Roman"/>
          <w:sz w:val="36"/>
          <w:szCs w:val="36"/>
        </w:rPr>
        <w:br/>
      </w:r>
    </w:p>
    <w:tbl>
      <w:tblPr>
        <w:tblStyle w:val="TableGrid"/>
        <w:tblW w:w="0" w:type="auto"/>
        <w:tblLook w:val="04A0" w:firstRow="1" w:lastRow="0" w:firstColumn="1" w:lastColumn="0" w:noHBand="0" w:noVBand="1"/>
      </w:tblPr>
      <w:tblGrid>
        <w:gridCol w:w="2394"/>
        <w:gridCol w:w="2394"/>
        <w:gridCol w:w="2394"/>
        <w:gridCol w:w="2394"/>
      </w:tblGrid>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Tên</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Bước sóng</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Tần số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Năng lượng</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gamma</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&lt;0,01 nm</w:t>
            </w:r>
          </w:p>
        </w:tc>
        <w:tc>
          <w:tcPr>
            <w:tcW w:w="2394" w:type="dxa"/>
          </w:tcPr>
          <w:p w:rsidR="006B6543" w:rsidRPr="006B6543" w:rsidRDefault="006B6543" w:rsidP="006B65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30 EHz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keV – 300 GeV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X</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0,01 – 10 nm</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30 EHz – 30 PHz </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eV – 124 keV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Tia tử ngoại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10 – 380 nm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 PHz – 790 THz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3.3 eV -124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Ánh sáng nhìn thấy</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380 – 700 nm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790 THz – 430 THz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1.7 eV – 3.3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Tia hồng ngoại</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700 – 1mm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430 THz – 300 GHz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meV – 1.7 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 xml:space="preserve">Vi ba </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1mm – 1 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300 GHz – 300 MHz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1.7 eV – 1.24 meV</w:t>
            </w:r>
          </w:p>
        </w:tc>
      </w:tr>
      <w:tr w:rsidR="006B6543" w:rsidTr="006B6543">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Radio</w:t>
            </w:r>
          </w:p>
        </w:tc>
        <w:tc>
          <w:tcPr>
            <w:tcW w:w="2394" w:type="dxa"/>
          </w:tcPr>
          <w:p w:rsidR="006B6543" w:rsidRDefault="006B6543">
            <w:pPr>
              <w:rPr>
                <w:rFonts w:ascii="Times New Roman" w:hAnsi="Times New Roman" w:cs="Times New Roman"/>
                <w:sz w:val="36"/>
                <w:szCs w:val="36"/>
              </w:rPr>
            </w:pPr>
            <w:r>
              <w:rPr>
                <w:rFonts w:ascii="Times New Roman" w:hAnsi="Times New Roman" w:cs="Times New Roman"/>
                <w:sz w:val="36"/>
                <w:szCs w:val="36"/>
              </w:rPr>
              <w:t>1mm – 100000 km</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300 GHz – 3 Hz</w:t>
            </w:r>
          </w:p>
        </w:tc>
        <w:tc>
          <w:tcPr>
            <w:tcW w:w="2394" w:type="dxa"/>
          </w:tcPr>
          <w:p w:rsidR="006B6543" w:rsidRDefault="00AC692A">
            <w:pPr>
              <w:rPr>
                <w:rFonts w:ascii="Times New Roman" w:hAnsi="Times New Roman" w:cs="Times New Roman"/>
                <w:sz w:val="36"/>
                <w:szCs w:val="36"/>
              </w:rPr>
            </w:pPr>
            <w:r>
              <w:rPr>
                <w:rFonts w:ascii="Times New Roman" w:hAnsi="Times New Roman" w:cs="Times New Roman"/>
                <w:sz w:val="36"/>
                <w:szCs w:val="36"/>
              </w:rPr>
              <w:t>12.4 feV – 1.24 meV</w:t>
            </w:r>
          </w:p>
        </w:tc>
      </w:tr>
    </w:tbl>
    <w:p w:rsidR="00036247" w:rsidRPr="00370450" w:rsidRDefault="00AC692A">
      <w:pPr>
        <w:rPr>
          <w:rFonts w:ascii="Times New Roman" w:hAnsi="Times New Roman" w:cs="Times New Roman"/>
          <w:sz w:val="36"/>
          <w:szCs w:val="36"/>
        </w:rPr>
      </w:pPr>
      <w:r>
        <w:rPr>
          <w:rFonts w:ascii="Times New Roman" w:hAnsi="Times New Roman" w:cs="Times New Roman"/>
          <w:sz w:val="36"/>
          <w:szCs w:val="36"/>
        </w:rPr>
        <w:br/>
        <w:t xml:space="preserve">Vùng ánh sáng mà mắt người thông thường nhìn thấy, được áp đặt gọi là ánh sáng khả kiến, có bước songs 0,38 – 0,7 um hay tần số trong dải 430-790 THz. Bức xạ hồng ngoại được định nghĩa có bước song từ 0,7 um – 1 mm. Một số sinh vật có thể nhìn thấy tia hồng ngaoij ở vùng gần kề với ánh sáng thường, cũng như trong một số thí nghiệm thì có người nhìn thấy đến </w:t>
      </w:r>
      <w:r>
        <w:rPr>
          <w:rFonts w:ascii="Times New Roman" w:hAnsi="Times New Roman" w:cs="Times New Roman"/>
          <w:sz w:val="36"/>
          <w:szCs w:val="36"/>
        </w:rPr>
        <w:lastRenderedPageBreak/>
        <w:t>vùng hồng ngoại 1,05 um</w:t>
      </w:r>
      <w:r>
        <w:rPr>
          <w:rFonts w:ascii="Times New Roman" w:hAnsi="Times New Roman" w:cs="Times New Roman"/>
          <w:sz w:val="36"/>
          <w:szCs w:val="36"/>
        </w:rPr>
        <w:br/>
        <w:t>Phân loại</w:t>
      </w:r>
      <w:r>
        <w:rPr>
          <w:rFonts w:ascii="Times New Roman" w:hAnsi="Times New Roman" w:cs="Times New Roman"/>
          <w:sz w:val="36"/>
          <w:szCs w:val="36"/>
        </w:rPr>
        <w:br/>
        <w:t xml:space="preserve">Tia hồng ngoại được phân chia theo bước song thành ba vùng chính </w:t>
      </w:r>
      <w:r>
        <w:rPr>
          <w:rFonts w:ascii="Times New Roman" w:hAnsi="Times New Roman" w:cs="Times New Roman"/>
          <w:sz w:val="36"/>
          <w:szCs w:val="36"/>
        </w:rPr>
        <w:br/>
        <w:t>{Bảng phân loại theo Mỹ}</w:t>
      </w:r>
      <w:r>
        <w:rPr>
          <w:rFonts w:ascii="Times New Roman" w:hAnsi="Times New Roman" w:cs="Times New Roman"/>
          <w:sz w:val="36"/>
          <w:szCs w:val="36"/>
        </w:rPr>
        <w:br/>
        <w:t>Nguồn phái tia hồng ngoại</w:t>
      </w:r>
      <w:r>
        <w:rPr>
          <w:rFonts w:ascii="Times New Roman" w:hAnsi="Times New Roman" w:cs="Times New Roman"/>
          <w:sz w:val="36"/>
          <w:szCs w:val="36"/>
        </w:rPr>
        <w:br/>
        <w:t xml:space="preserve">Mọi vật có nhiệt độ lớn hơn 0 K đều phát ra tia hồng ngoại </w:t>
      </w:r>
      <w:r>
        <w:rPr>
          <w:rFonts w:ascii="Times New Roman" w:hAnsi="Times New Roman" w:cs="Times New Roman"/>
          <w:sz w:val="36"/>
          <w:szCs w:val="36"/>
        </w:rPr>
        <w:br/>
        <w:t>Tính chất</w:t>
      </w:r>
      <w:r>
        <w:rPr>
          <w:rFonts w:ascii="Times New Roman" w:hAnsi="Times New Roman" w:cs="Times New Roman"/>
          <w:sz w:val="36"/>
          <w:szCs w:val="36"/>
        </w:rPr>
        <w:br/>
        <w:t>Tia hồng ngoại có các tính chất cơ bản sau:</w:t>
      </w:r>
      <w:r>
        <w:rPr>
          <w:rFonts w:ascii="Times New Roman" w:hAnsi="Times New Roman" w:cs="Times New Roman"/>
          <w:sz w:val="36"/>
          <w:szCs w:val="36"/>
        </w:rPr>
        <w:br/>
        <w:t>tác dụng nhiệt</w:t>
      </w:r>
      <w:r>
        <w:rPr>
          <w:rFonts w:ascii="Times New Roman" w:hAnsi="Times New Roman" w:cs="Times New Roman"/>
          <w:sz w:val="36"/>
          <w:szCs w:val="36"/>
        </w:rPr>
        <w:br/>
        <w:t>có thể gây ra hiện tượng quang điện trong ở chất bán dẫn</w:t>
      </w:r>
      <w:r>
        <w:rPr>
          <w:rFonts w:ascii="Times New Roman" w:hAnsi="Times New Roman" w:cs="Times New Roman"/>
          <w:sz w:val="36"/>
          <w:szCs w:val="36"/>
        </w:rPr>
        <w:br/>
        <w:t>có thể tác dụng lên một số kính ảnh đặc biệt</w:t>
      </w:r>
      <w:r>
        <w:rPr>
          <w:rFonts w:ascii="Times New Roman" w:hAnsi="Times New Roman" w:cs="Times New Roman"/>
          <w:sz w:val="36"/>
          <w:szCs w:val="36"/>
        </w:rPr>
        <w:br/>
        <w:t>có thể biến điệu như song điện từ cao tần</w:t>
      </w:r>
      <w:r>
        <w:rPr>
          <w:rFonts w:ascii="Times New Roman" w:hAnsi="Times New Roman" w:cs="Times New Roman"/>
          <w:sz w:val="36"/>
          <w:szCs w:val="36"/>
        </w:rPr>
        <w:br/>
        <w:t>Ứng dụng</w:t>
      </w:r>
      <w:r>
        <w:rPr>
          <w:rFonts w:ascii="Times New Roman" w:hAnsi="Times New Roman" w:cs="Times New Roman"/>
          <w:sz w:val="36"/>
          <w:szCs w:val="36"/>
        </w:rPr>
        <w:br/>
        <w:t>Đo nhiệt độ</w:t>
      </w:r>
      <w:r>
        <w:rPr>
          <w:rFonts w:ascii="Times New Roman" w:hAnsi="Times New Roman" w:cs="Times New Roman"/>
          <w:sz w:val="36"/>
          <w:szCs w:val="36"/>
        </w:rPr>
        <w:br/>
        <w:t>Việc thu nhận và đo đạc tia hồng ngoại có thể giúp xác định nhiệt đọ của vật từ xa, nếu chúng là nguồn phát ra các tia thu được. Hình chụp trong phổ hồng ngoại được gọi là hình ảnh nhiệt, hay trong trường hợp vật rất nóng trong NIR hay có thể thấu được gọi là phép đo nhiệt.</w:t>
      </w:r>
      <w:r>
        <w:rPr>
          <w:rFonts w:ascii="Times New Roman" w:hAnsi="Times New Roman" w:cs="Times New Roman"/>
          <w:sz w:val="36"/>
          <w:szCs w:val="36"/>
        </w:rPr>
        <w:br/>
        <w:t>Kỹ thuật đo nhiệt độ bằng hồng ngoiaj được dùng chủ yếu trong quân sự, và ứng dụng công nghiệp. Kỹ thuật này hiện cũng đang được ứng dụng và dần quen thuộc với thị trường dân sự như: máy ảnh trên xe hơi, tùy thuộc vào giá thành của các sản phẩm có được giảm giá mạnh hay không.</w:t>
      </w:r>
      <w:r>
        <w:rPr>
          <w:rFonts w:ascii="Times New Roman" w:hAnsi="Times New Roman" w:cs="Times New Roman"/>
          <w:sz w:val="36"/>
          <w:szCs w:val="36"/>
        </w:rPr>
        <w:br/>
        <w:t>Phát nhiệt</w:t>
      </w:r>
      <w:r>
        <w:rPr>
          <w:rFonts w:ascii="Times New Roman" w:hAnsi="Times New Roman" w:cs="Times New Roman"/>
          <w:sz w:val="36"/>
          <w:szCs w:val="36"/>
        </w:rPr>
        <w:br/>
        <w:t xml:space="preserve">Tia hồng ngoại được dùng trong đèn hồng ngoại sưởi trực tiêp </w:t>
      </w:r>
      <w:r>
        <w:rPr>
          <w:rFonts w:ascii="Times New Roman" w:hAnsi="Times New Roman" w:cs="Times New Roman"/>
          <w:sz w:val="36"/>
          <w:szCs w:val="36"/>
        </w:rPr>
        <w:lastRenderedPageBreak/>
        <w:t>lên cơ thể, và bố trí ở một số phòng tắm hơi. Tuy nhiên cần lưu ý không nhìn vào các đèn này vì mắt không điều tiết được độ mở sáng theo tia hồng ngoại, chúng có thể gây mù mắt. Tia hồng ngoại có thể được dùng làm tan tuyết trên cánh máy bay.</w:t>
      </w:r>
      <w:r w:rsidR="000135A7">
        <w:rPr>
          <w:rFonts w:ascii="Times New Roman" w:hAnsi="Times New Roman" w:cs="Times New Roman"/>
          <w:sz w:val="36"/>
          <w:szCs w:val="36"/>
        </w:rPr>
        <w:br/>
        <w:t>Một lượng lớn năng lượng mặt trời là nằm trong vùng hồng ngoại. Các vật nóng cỡ vài trăm độ C như lò sưởi, bếp cũng phát ra bức xa vật đen có cực đại ở vùng hồng ngoại. DO vậy tia hồng ngoại còn được gọi là tia nhiệt.</w:t>
      </w:r>
      <w:r w:rsidR="000135A7">
        <w:rPr>
          <w:rFonts w:ascii="Times New Roman" w:hAnsi="Times New Roman" w:cs="Times New Roman"/>
          <w:sz w:val="36"/>
          <w:szCs w:val="36"/>
        </w:rPr>
        <w:br/>
        <w:t>Kỹ thuật hồng ngoiaj trong quân sự</w:t>
      </w:r>
      <w:r w:rsidR="000135A7">
        <w:rPr>
          <w:rFonts w:ascii="Times New Roman" w:hAnsi="Times New Roman" w:cs="Times New Roman"/>
          <w:sz w:val="36"/>
          <w:szCs w:val="36"/>
        </w:rPr>
        <w:br/>
        <w:t>Kỹ thuật hồng ngoại rất quan trong với ngành quốc phòng. Những tên lửa không đối không cự ly gần mà máy bay chiến đấu sử dụng đều có dùng tia hồng ngoiaj dẫn đường, thuwongf được gọi là tên lửa tầm nhiệt hay tên lửa dẫn hướng hồng ngoại. tên lửa tự động bám sát luồng hợi nóng từ động cơ máy bay để tìm đến địch.</w:t>
      </w:r>
      <w:r w:rsidR="000135A7">
        <w:rPr>
          <w:rFonts w:ascii="Times New Roman" w:hAnsi="Times New Roman" w:cs="Times New Roman"/>
          <w:sz w:val="36"/>
          <w:szCs w:val="36"/>
        </w:rPr>
        <w:br/>
        <w:t>Để chống lại tên lửa tầm nhiệt thì máy bay bố trí các quả pháo nòng sáng, tung ra khi phát hiện có tên lửa. Nó dẫn đến cuộc đua, một amwtj là tang khả năng nhận dạng bằng ảnh hồng ngoại cho tên lửa, mặt khác là sử dụng cùng với các dạng dẫn hướng khác.</w:t>
      </w:r>
      <w:r w:rsidR="000135A7">
        <w:rPr>
          <w:rFonts w:ascii="Times New Roman" w:hAnsi="Times New Roman" w:cs="Times New Roman"/>
          <w:sz w:val="36"/>
          <w:szCs w:val="36"/>
        </w:rPr>
        <w:br/>
      </w:r>
      <w:bookmarkStart w:id="0" w:name="_GoBack"/>
      <w:bookmarkEnd w:id="0"/>
    </w:p>
    <w:sectPr w:rsidR="00036247" w:rsidRPr="0037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E62A2"/>
    <w:multiLevelType w:val="hybridMultilevel"/>
    <w:tmpl w:val="47ACFDCE"/>
    <w:lvl w:ilvl="0" w:tplc="95E4BF60">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C3"/>
    <w:rsid w:val="000135A7"/>
    <w:rsid w:val="00036247"/>
    <w:rsid w:val="00370450"/>
    <w:rsid w:val="003F22C3"/>
    <w:rsid w:val="006B6543"/>
    <w:rsid w:val="00A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6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2016-12-04T09:18:00Z</dcterms:created>
  <dcterms:modified xsi:type="dcterms:W3CDTF">2016-12-04T09:47:00Z</dcterms:modified>
</cp:coreProperties>
</file>