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Chuyên Đề: Ứng Dụng Chuyển Đổi Số Và Quản Trị Dữ Liệu Nhân Khẩu Học</w:t>
      </w:r>
    </w:p>
    <w:p>
      <w:pPr>
        <w:pStyle w:val="Heading1"/>
      </w:pPr>
      <w:r>
        <w:t>1. Tổng Quan Về Chuyển Đổi Số Dân Số Học</w:t>
      </w:r>
    </w:p>
    <w:p>
      <w:r>
        <w:t>Chuyển đổi số trong lĩnh vực nhân khẩu học là quá trình ứng dụng công nghệ thông tin và trí tuệ nhân tạo để số hóa toàn diện dữ liệu cư dân.</w:t>
      </w:r>
    </w:p>
    <w:p>
      <w:r>
        <w:t>Dân cư phản ánh không gian cư trú và phân bố địa lý, trong khi dân số phản ánh các quy luật sinh tử, cơ cấu tuổi và biến động nhân khẩu học thực tế.</w:t>
      </w:r>
    </w:p>
    <w:p>
      <w:r>
        <w:t>Tại Việt Nam, tỷ lệ dân số tham gia định danh điện tử đã đạt trên 85% vào năm 2024, tạo nền tảng vững chắc cho việc dự báo chính xác.</w:t>
      </w:r>
    </w:p>
    <w:p>
      <w:pPr>
        <w:pStyle w:val="Heading1"/>
      </w:pPr>
      <w:r>
        <w:t>2. Mô Hình Toán Học Và Thuật Toán Dự Báo</w:t>
      </w:r>
    </w:p>
    <w:p>
      <w:r>
        <w:t>Phương trình tăng trưởng hàm số mũ được tính theo công thức: P_t = P_0 * (1 + r)^t, trong đó P_0 là dân số gốc và r là tỷ lệ gia tăng dân số hàng năm.</w:t>
      </w:r>
    </w:p>
    <w:p>
      <w:r>
        <w:t>Mô hình chuyển tiếp nhân khẩu học gồm 4 giai đoạn tiến hóa từ mức sinh cao và chết cao sang mức sinh thấp và chết thấp.</w:t>
      </w:r>
    </w:p>
    <w:p>
      <w:r>
        <w:t>Hệ thống cơ sở dữ liệu quốc gia về dân cư giúp giảm 40% thời gian xử lý thủ tục hành chính và tối ưu hóa 25% ngân sách an sinh xã hội.</w:t>
      </w:r>
    </w:p>
    <w:p>
      <w:pPr>
        <w:pStyle w:val="Heading1"/>
      </w:pPr>
      <w:r>
        <w:t>3. Bảng Tổng Hợp Chỉ Số Chuyển Đổi Số Theo Vùng</w:t>
      </w:r>
    </w:p>
    <w:tbl>
      <w:tblPr>
        <w:tblW w:type="auto" w:w="0"/>
        <w:tblLook w:firstColumn="1" w:firstRow="1" w:lastColumn="0" w:lastRow="0" w:noHBand="0" w:noVBand="1" w:val="04A0"/>
      </w:tblPr>
      <w:tblGrid>
        <w:gridCol w:w="2160"/>
        <w:gridCol w:w="2160"/>
        <w:gridCol w:w="2160"/>
        <w:gridCol w:w="2160"/>
      </w:tblGrid>
      <w:tr>
        <w:tc>
          <w:tcPr>
            <w:tcW w:type="dxa" w:w="2160"/>
          </w:tcPr>
          <w:p>
            <w:r>
              <w:t>Vùng Kinh Tế</w:t>
            </w:r>
          </w:p>
        </w:tc>
        <w:tc>
          <w:tcPr>
            <w:tcW w:type="dxa" w:w="2160"/>
          </w:tcPr>
          <w:p>
            <w:r>
              <w:t>Tỷ Lệ Số Hóa (%)</w:t>
            </w:r>
          </w:p>
        </w:tc>
        <w:tc>
          <w:tcPr>
            <w:tcW w:type="dxa" w:w="2160"/>
          </w:tcPr>
          <w:p>
            <w:r>
              <w:t>Tốc Độ Tăng Trưởng</w:t>
            </w:r>
          </w:p>
        </w:tc>
        <w:tc>
          <w:tcPr>
            <w:tcW w:type="dxa" w:w="2160"/>
          </w:tcPr>
          <w:p>
            <w:r>
              <w:t>Mức Độ Ứng Dụng</w:t>
            </w:r>
          </w:p>
        </w:tc>
      </w:tr>
      <w:tr>
        <w:tc>
          <w:tcPr>
            <w:tcW w:type="dxa" w:w="2160"/>
          </w:tcPr>
          <w:p>
            <w:r>
              <w:t>Đồng Bằng Sông Hồng</w:t>
            </w:r>
          </w:p>
        </w:tc>
        <w:tc>
          <w:tcPr>
            <w:tcW w:type="dxa" w:w="2160"/>
          </w:tcPr>
          <w:p>
            <w:r>
              <w:t>92.5%</w:t>
            </w:r>
          </w:p>
        </w:tc>
        <w:tc>
          <w:tcPr>
            <w:tcW w:type="dxa" w:w="2160"/>
          </w:tcPr>
          <w:p>
            <w:r>
              <w:t>1.45%</w:t>
            </w:r>
          </w:p>
        </w:tc>
        <w:tc>
          <w:tcPr>
            <w:tcW w:type="dxa" w:w="2160"/>
          </w:tcPr>
          <w:p>
            <w:r>
              <w:t>Rất Cao</w:t>
            </w:r>
          </w:p>
        </w:tc>
      </w:tr>
      <w:tr>
        <w:tc>
          <w:tcPr>
            <w:tcW w:type="dxa" w:w="2160"/>
          </w:tcPr>
          <w:p>
            <w:r>
              <w:t>Đông Nam Bộ</w:t>
            </w:r>
          </w:p>
        </w:tc>
        <w:tc>
          <w:tcPr>
            <w:tcW w:type="dxa" w:w="2160"/>
          </w:tcPr>
          <w:p>
            <w:r>
              <w:t>94.8%</w:t>
            </w:r>
          </w:p>
        </w:tc>
        <w:tc>
          <w:tcPr>
            <w:tcW w:type="dxa" w:w="2160"/>
          </w:tcPr>
          <w:p>
            <w:r>
              <w:t>1.82%</w:t>
            </w:r>
          </w:p>
        </w:tc>
        <w:tc>
          <w:tcPr>
            <w:tcW w:type="dxa" w:w="2160"/>
          </w:tcPr>
          <w:p>
            <w:r>
              <w:t>Dẫn Đầu</w:t>
            </w:r>
          </w:p>
        </w:tc>
      </w:tr>
      <w:tr>
        <w:tc>
          <w:tcPr>
            <w:tcW w:type="dxa" w:w="2160"/>
          </w:tcPr>
          <w:p>
            <w:r>
              <w:t>Bắc Trung Bộ</w:t>
            </w:r>
          </w:p>
        </w:tc>
        <w:tc>
          <w:tcPr>
            <w:tcW w:type="dxa" w:w="2160"/>
          </w:tcPr>
          <w:p>
            <w:r>
              <w:t>81.2%</w:t>
            </w:r>
          </w:p>
        </w:tc>
        <w:tc>
          <w:tcPr>
            <w:tcW w:type="dxa" w:w="2160"/>
          </w:tcPr>
          <w:p>
            <w:r>
              <w:t>0.98%</w:t>
            </w:r>
          </w:p>
        </w:tc>
        <w:tc>
          <w:tcPr>
            <w:tcW w:type="dxa" w:w="2160"/>
          </w:tcPr>
          <w:p>
            <w:r>
              <w:t>Trung Bình</w:t>
            </w:r>
          </w:p>
        </w:tc>
      </w:tr>
      <w:tr>
        <w:tc>
          <w:tcPr>
            <w:tcW w:type="dxa" w:w="2160"/>
          </w:tcPr>
          <w:p>
            <w:r>
              <w:t>Tây Nguyên</w:t>
            </w:r>
          </w:p>
        </w:tc>
        <w:tc>
          <w:tcPr>
            <w:tcW w:type="dxa" w:w="2160"/>
          </w:tcPr>
          <w:p>
            <w:r>
              <w:t>74.6%</w:t>
            </w:r>
          </w:p>
        </w:tc>
        <w:tc>
          <w:tcPr>
            <w:tcW w:type="dxa" w:w="2160"/>
          </w:tcPr>
          <w:p>
            <w:r>
              <w:t>1.20%</w:t>
            </w:r>
          </w:p>
        </w:tc>
        <w:tc>
          <w:tcPr>
            <w:tcW w:type="dxa" w:w="2160"/>
          </w:tcPr>
          <w:p>
            <w:r>
              <w:t>Đang Phát Triển</w:t>
            </w:r>
          </w:p>
        </w:tc>
      </w:tr>
      <w:tr>
        <w:tc>
          <w:tcPr>
            <w:tcW w:type="dxa" w:w="2160"/>
          </w:tcPr>
          <w:p>
            <w:r>
              <w:t>Đồng Bằng Sông Cửu Long</w:t>
            </w:r>
          </w:p>
        </w:tc>
        <w:tc>
          <w:tcPr>
            <w:tcW w:type="dxa" w:w="2160"/>
          </w:tcPr>
          <w:p>
            <w:r>
              <w:t>83.4%</w:t>
            </w:r>
          </w:p>
        </w:tc>
        <w:tc>
          <w:tcPr>
            <w:tcW w:type="dxa" w:w="2160"/>
          </w:tcPr>
          <w:p>
            <w:r>
              <w:t>0.75%</w:t>
            </w:r>
          </w:p>
        </w:tc>
        <w:tc>
          <w:tcPr>
            <w:tcW w:type="dxa" w:w="2160"/>
          </w:tcPr>
          <w:p>
            <w:r>
              <w:t>Khá</w:t>
            </w:r>
          </w:p>
        </w:tc>
      </w:tr>
    </w:tbl>
    <w:p>
      <w:pPr>
        <w:pStyle w:val="Heading1"/>
      </w:pPr>
      <w:r>
        <w:t>4. Giải Pháp Chiến Lược Và Định Hướng Bền Vững Đến 2030</w:t>
      </w:r>
    </w:p>
    <w:p>
      <w:r>
        <w:t>Thứ nhất, hoàn thiện khung pháp lý và chính sách an toàn thông tin dữ liệu dân cư.</w:t>
      </w:r>
    </w:p>
    <w:p>
      <w:r>
        <w:t>Thứ hai, đào tạo nguồn nhân lực chất lượng cao về khoa học dữ liệu nhân khẩu học.</w:t>
      </w:r>
    </w:p>
    <w:p>
      <w:r>
        <w:t>Thứ ba, đầu tư đồng bộ hạ tầng điện toán đám mây và trung tâm phân tích dữ liệu lớn.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