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lương 2026 (MẬT)</w:t>
      </w:r>
    </w:p>
    <w:p>
      <w:r>
        <w:t>Nguyễn Văn A: 45.000.000 VND</w:t>
      </w:r>
    </w:p>
    <w:p>
      <w:r>
        <w:t>Trần Thị Ly: 38.000.000 VND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lương 2026 (MẬT)</dc:title>
  <dc:subject/>
  <dc:creator>Phòng Nhân sự</dc:creator>
  <cp:keywords/>
  <dc:description>generated by python-docx</dc:description>
  <cp:lastModifiedBy>Phòng Nhân sự</cp:lastModifiedBy>
  <cp:revision>1</cp:revision>
  <dcterms:created xsi:type="dcterms:W3CDTF">2026-08-14T09:00:00Z</dcterms:created>
  <dcterms:modified xsi:type="dcterms:W3CDTF">2013-12-23T23:15:00Z</dcterms:modified>
  <cp:category/>
</cp:coreProperties>
</file>