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1.46.1 (build 94)</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Dua gambar untuk satu sistem yang sama, dari dua tempat berdiri yang berbeda. Dipisah karena pembacanya berbeda: orang resto yang membaca diagram berisi "pg_net" dan "RLS" tidak menemukan dirinya di sana, dan pengembang yang membaca diagram berisi "Kasir menerima uang" tidak menemukan tempat menambal kodenya. Satu gambar yang memuat keduanya gagal untuk dua-duanya sekaligus.</w:t>
      </w:r>
    </w:p>
    <w:p>
      <w:pPr>
        <w:pStyle w:val="Heading2"/>
      </w:pPr>
      <w:r>
        <w:t>1.1 Dari sisi pengguna</w:t>
      </w:r>
    </w:p>
    <w:p>
      <w:pPr>
        <w:spacing w:before="160"/>
        <w:jc w:val="center"/>
      </w:pPr>
      <w:r>
        <w:drawing>
          <wp:inline xmlns:a="http://schemas.openxmlformats.org/drawingml/2006/main" xmlns:pic="http://schemas.openxmlformats.org/drawingml/2006/picture">
            <wp:extent cx="5580000" cy="2646923"/>
            <wp:docPr id="2" name="Picture 2"/>
            <wp:cNvGraphicFramePr>
              <a:graphicFrameLocks noChangeAspect="1"/>
            </wp:cNvGraphicFramePr>
            <a:graphic>
              <a:graphicData uri="http://schemas.openxmlformats.org/drawingml/2006/picture">
                <pic:pic>
                  <pic:nvPicPr>
                    <pic:cNvPr id="0" name="arsitektur-01-pengguna.png"/>
                    <pic:cNvPicPr/>
                  </pic:nvPicPr>
                  <pic:blipFill>
                    <a:blip r:embed="rId12"/>
                    <a:stretch>
                      <a:fillRect/>
                    </a:stretch>
                  </pic:blipFill>
                  <pic:spPr>
                    <a:xfrm>
                      <a:off x="0" y="0"/>
                      <a:ext cx="5580000" cy="2646923"/>
                    </a:xfrm>
                    <a:prstGeom prst="rect"/>
                  </pic:spPr>
                </pic:pic>
              </a:graphicData>
            </a:graphic>
          </wp:inline>
        </w:drawing>
      </w:r>
    </w:p>
    <w:p>
      <w:pPr>
        <w:jc w:val="center"/>
      </w:pPr>
      <w:r>
        <w:rPr>
          <w:i/>
          <w:color w:val="6E728C"/>
          <w:sz w:val="18"/>
        </w:rPr>
        <w:t>Arsitektur dari sisi pengguna</w:t>
      </w:r>
    </w:p>
    <w:p>
      <w:r>
        <w:rPr>
          <w:sz w:val="21"/>
        </w:rPr>
        <w:t>Tidak ada satu pun nama teknologi di gambar ini. Yang digambarkan adalah apa yang berpindah tangan: pesanan, uang, dan catatannya.</w:t>
      </w:r>
    </w:p>
    <w:p>
      <w:r>
        <w:rPr>
          <w:sz w:val="21"/>
        </w:rPr>
        <w:t>Perhatikan dua jalur yang berbeda sesudah pelanggan memilih cara bayar.</w:t>
      </w:r>
    </w:p>
    <w:p>
      <w:r>
        <w:rPr>
          <w:b/>
          <w:sz w:val="21"/>
        </w:rPr>
        <w:t>QRIS lunas seketika</w:t>
      </w:r>
      <w:r>
        <w:rPr>
          <w:sz w:val="21"/>
        </w:rPr>
        <w:t>, jadi pesanannya langsung masuk antrean dapur.</w:t>
      </w:r>
    </w:p>
    <w:p>
      <w:r>
        <w:rPr>
          <w:b/>
          <w:sz w:val="21"/>
        </w:rPr>
        <w:t>Tunai tidak.</w:t>
      </w:r>
      <w:r>
        <w:rPr>
          <w:sz w:val="21"/>
        </w:rPr>
        <w:t xml:space="preserve"> Ia mampir di Pending Payment, dan baru bergerak setelah melewati Kasir — karena di situlah uangnya benar-benar berpindah tangan. Kasir adalah titik yang tidak boleh dilompati: dari sanalah pesanannya lanjut ke dapur, jurnal GL-nya tercatat, dan uang tunainya masuk ke laci yang nanti disetorkan.</w:t>
      </w:r>
    </w:p>
    <w:p>
      <w:r>
        <w:rPr>
          <w:sz w:val="21"/>
        </w:rPr>
        <w:t>Bahan yang sudah terpakai adalah kerugian nyata, dan yang menanggungnya bukan pihak yang menekan tombolnya di HP.</w:t>
      </w:r>
    </w:p>
    <w:p>
      <w:r>
        <w:rPr>
          <w:sz w:val="21"/>
        </w:rPr>
        <w:t xml:space="preserve">Satu hal lagi yang sering ditanyakan: </w:t>
      </w:r>
      <w:r>
        <w:rPr>
          <w:b/>
          <w:sz w:val="21"/>
        </w:rPr>
        <w:t>Owner tidak punya layar khusus miliknya sendiri</w:t>
      </w:r>
      <w:r>
        <w:rPr>
          <w:sz w:val="21"/>
        </w:rPr>
        <w:t>; yang dia punya adalah seluruh layar di atasnya.</w:t>
      </w:r>
    </w:p>
    <w:p>
      <w:pPr>
        <w:pStyle w:val="Heading2"/>
      </w:pPr>
      <w:r>
        <w:t>1.2 Dari sisi teknis</w:t>
      </w:r>
    </w:p>
    <w:p>
      <w:pPr>
        <w:spacing w:before="160"/>
        <w:jc w:val="center"/>
      </w:pPr>
      <w:r>
        <w:drawing>
          <wp:inline xmlns:a="http://schemas.openxmlformats.org/drawingml/2006/main" xmlns:pic="http://schemas.openxmlformats.org/drawingml/2006/picture">
            <wp:extent cx="5580000" cy="2725615"/>
            <wp:docPr id="3" name="Picture 3"/>
            <wp:cNvGraphicFramePr>
              <a:graphicFrameLocks noChangeAspect="1"/>
            </wp:cNvGraphicFramePr>
            <a:graphic>
              <a:graphicData uri="http://schemas.openxmlformats.org/drawingml/2006/picture">
                <pic:pic>
                  <pic:nvPicPr>
                    <pic:cNvPr id="0" name="arsitektur-02-teknikal.png"/>
                    <pic:cNvPicPr/>
                  </pic:nvPicPr>
                  <pic:blipFill>
                    <a:blip r:embed="rId13"/>
                    <a:stretch>
                      <a:fillRect/>
                    </a:stretch>
                  </pic:blipFill>
                  <pic:spPr>
                    <a:xfrm>
                      <a:off x="0" y="0"/>
                      <a:ext cx="5580000" cy="2725615"/>
                    </a:xfrm>
                    <a:prstGeom prst="rect"/>
                  </pic:spPr>
                </pic:pic>
              </a:graphicData>
            </a:graphic>
          </wp:inline>
        </w:drawing>
      </w:r>
    </w:p>
    <w:p>
      <w:pPr>
        <w:jc w:val="center"/>
      </w:pPr>
      <w:r>
        <w:rPr>
          <w:i/>
          <w:color w:val="6E728C"/>
          <w:sz w:val="18"/>
        </w:rPr>
        <w:t>Arsitektur teknis</w:t>
      </w:r>
    </w:p>
    <w:p>
      <w:r>
        <w:rPr>
          <w:sz w:val="21"/>
        </w:rPr>
        <w:t xml:space="preserve">KaataGo adalah aplikasi Flutter tunggal yang berbicara langsung ke Supabase. </w:t>
      </w:r>
      <w:r>
        <w:rPr>
          <w:b/>
          <w:sz w:val="21"/>
        </w:rPr>
        <w:t>Tidak ada server aplikasi milik sendiri di tengahnya.</w:t>
      </w:r>
    </w:p>
    <w:p>
      <w:r>
        <w:rPr>
          <w:sz w:val="21"/>
        </w:rPr>
        <w:t xml:space="preserve">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tanpa lewat layar mana pun. Karena itu tiap aturan penting ditulis dua kali — di formulir supaya orangnya tahu, dan di basis data supaya benar.</w:t>
      </w:r>
    </w:p>
    <w:p>
      <w:r>
        <w:rPr>
          <w:sz w:val="21"/>
        </w:rPr>
        <w:t xml:space="preserve">Perhatikan arah panah ke pihak ketiga. Yang </w:t>
      </w:r>
      <w:r>
        <w:rPr>
          <w:b/>
          <w:sz w:val="21"/>
        </w:rPr>
        <w:t>mengirim</w:t>
      </w:r>
      <w:r>
        <w:rPr>
          <w:sz w:val="21"/>
        </w:rPr>
        <w:t xml:space="preserve"> ke Xendit, FCM, dan Resend selalu fungsi edge, tidak pernah aplikasinya. Itu bukan kerapian arsitektur melainkan syarat: kunci penyedia pembayaran yang ditaruh di dalam APK sama saja dengan diumumkan, karena APK bisa dibongkar siapa saja yang mengunduhnya.</w:t>
      </w:r>
    </w:p>
    <w:p>
      <w:r>
        <w:rPr>
          <w:sz w:val="21"/>
        </w:rPr>
        <w:t>Aplikasi tetap berhubungan dengan FCM untuk hal yang tidak butuh kunci rahasia — mendaftarkan token perangkatnya sendiri dan menerima pesan yang masuk. Yang tidak pernah dipegangnya adalah wewenang mengirim.</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30 tabel, seluruhnya di skema </w:t>
      </w:r>
      <w:r>
        <w:rPr>
          <w:rFonts w:ascii="Consolas" w:hAnsi="Consolas"/>
          <w:color w:val="3730A3"/>
          <w:sz w:val="21"/>
        </w:rPr>
        <w:t>public</w:t>
      </w:r>
      <w:r>
        <w:rPr>
          <w:sz w:val="21"/>
        </w:rPr>
        <w:t>.</w:t>
      </w:r>
    </w:p>
    <w:p>
      <w:pPr>
        <w:pStyle w:val="Heading2"/>
      </w:pPr>
      <w:r>
        <w:t>4.0 Peta relasi</w:t>
      </w:r>
    </w:p>
    <w:p>
      <w:r>
        <w:rPr>
          <w:sz w:val="21"/>
        </w:rPr>
        <w:t>Dipecah per wilayah, bukan satu diagram berisi 27 tabel sekaligus. Satu gambar besar memang memuat semuanya, tapi pada lebar kertas tulisannya jadi terlalu kecil untuk dibaca — dan diagram yang tidak terbaca sama saja dengan tidak ada.</w:t>
      </w:r>
    </w:p>
    <w:p>
      <w:r>
        <w:rPr>
          <w:sz w:val="21"/>
        </w:rPr>
        <w:t>Dua jenis garis, dan bedanya bukan hiasan: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Garis</w:t>
            </w:r>
          </w:p>
        </w:tc>
        <w:tc>
          <w:tcPr>
            <w:tcW w:type="dxa" w:w="4929"/>
            <w:shd w:val="clear" w:fill="4F46E5"/>
          </w:tcPr>
          <w:p>
            <w:pPr>
              <w:spacing w:after="40" w:before="40"/>
            </w:pPr>
            <w:r>
              <w:rPr>
                <w:b/>
                <w:color w:val="FFFFFF"/>
                <w:sz w:val="19"/>
              </w:rPr>
              <w:t>Artinya</w:t>
            </w:r>
          </w:p>
        </w:tc>
      </w:tr>
      <w:tr>
        <w:tc>
          <w:tcPr>
            <w:tcW w:type="dxa" w:w="4929"/>
          </w:tcPr>
          <w:p>
            <w:pPr>
              <w:spacing w:after="40" w:before="40"/>
            </w:pPr>
            <w:r>
              <w:rPr>
                <w:b/>
                <w:sz w:val="19"/>
              </w:rPr>
              <w:t>Penuh</w:t>
            </w:r>
          </w:p>
        </w:tc>
        <w:tc>
          <w:tcPr>
            <w:tcW w:type="dxa" w:w="4929"/>
          </w:tcPr>
          <w:p>
            <w:pPr>
              <w:spacing w:after="40" w:before="40"/>
            </w:pPr>
            <w:r>
              <w:rPr>
                <w:sz w:val="19"/>
              </w:rPr>
              <w:t>Kunci asing sungguhan — database yang menegakkannya</w:t>
            </w:r>
          </w:p>
        </w:tc>
      </w:tr>
      <w:tr>
        <w:tc>
          <w:tcPr>
            <w:tcW w:type="dxa" w:w="4929"/>
            <w:shd w:val="clear" w:fill="F4F5FB"/>
          </w:tcPr>
          <w:p>
            <w:pPr>
              <w:spacing w:after="40" w:before="40"/>
            </w:pPr>
            <w:r>
              <w:rPr>
                <w:b/>
                <w:sz w:val="19"/>
              </w:rPr>
              <w:t>Putus</w:t>
            </w:r>
          </w:p>
        </w:tc>
        <w:tc>
          <w:tcPr>
            <w:tcW w:type="dxa" w:w="4929"/>
            <w:shd w:val="clear" w:fill="F4F5FB"/>
          </w:tcPr>
          <w:p>
            <w:pPr>
              <w:spacing w:after="40" w:before="40"/>
            </w:pPr>
            <w:r>
              <w:rPr>
                <w:sz w:val="19"/>
              </w:rPr>
              <w:t>Cuma kesepakatan — tidak ada yang mencegahnya dilanggar</w:t>
            </w:r>
          </w:p>
        </w:tc>
      </w:tr>
    </w:tbl>
    <w:p>
      <w:pPr>
        <w:shd w:val="clear" w:fill="FFF7E6"/>
        <w:pBdr>
          <w:left w:val="single" w:sz="18" w:space="6" w:color="F59E0B"/>
        </w:pBdr>
        <w:spacing w:before="120"/>
        <w:ind w:left="227"/>
      </w:pPr>
      <w:r>
        <w:rPr>
          <w:b/>
          <w:sz w:val="20"/>
        </w:rPr>
        <w:t>Yang putus adalah tempat data yatim bisa muncul.</w:t>
      </w:r>
      <w:r>
        <w:rPr>
          <w:sz w:val="20"/>
        </w:rPr>
        <w:t xml:space="preserve"> Saat membaca kode, </w:t>
      </w:r>
      <w:r>
        <w:rPr>
          <w:rFonts w:ascii="Consolas" w:hAnsi="Consolas"/>
          <w:color w:val="3730A3"/>
          <w:sz w:val="20"/>
        </w:rPr>
        <w:t>order.session_id</w:t>
      </w:r>
      <w:r>
        <w:rPr>
          <w:sz w:val="20"/>
        </w:rPr>
        <w:t xml:space="preserve"> dan </w:t>
      </w:r>
      <w:r>
        <w:rPr>
          <w:rFonts w:ascii="Consolas" w:hAnsi="Consolas"/>
          <w:color w:val="3730A3"/>
          <w:sz w:val="20"/>
        </w:rPr>
        <w:t>order.resto_id</w:t>
      </w:r>
      <w:r>
        <w:rPr>
          <w:sz w:val="20"/>
        </w:rPr>
        <w:t xml:space="preserve"> terlihat sama persis — keduanya kolom berisi id. Bedanya baru terasa saat sesinya terhapus: </w:t>
      </w:r>
      <w:r>
        <w:rPr>
          <w:rFonts w:ascii="Consolas" w:hAnsi="Consolas"/>
          <w:color w:val="3730A3"/>
          <w:sz w:val="20"/>
        </w:rPr>
        <w:t>resto_id</w:t>
      </w:r>
      <w:r>
        <w:rPr>
          <w:sz w:val="20"/>
        </w:rPr>
        <w:t xml:space="preserve"> ditolak database, </w:t>
      </w:r>
      <w:r>
        <w:rPr>
          <w:rFonts w:ascii="Consolas" w:hAnsi="Consolas"/>
          <w:color w:val="3730A3"/>
          <w:sz w:val="20"/>
        </w:rPr>
        <w:t>session_id</w:t>
      </w:r>
      <w:r>
        <w:rPr>
          <w:sz w:val="20"/>
        </w:rPr>
        <w:t xml:space="preserve"> dibiarkan menunjuk ke sesuatu yang sudah tidak ada.</w:t>
      </w:r>
    </w:p>
    <w:p>
      <w:pPr>
        <w:spacing w:before="160"/>
        <w:jc w:val="center"/>
      </w:pPr>
      <w:r>
        <w:drawing>
          <wp:inline xmlns:a="http://schemas.openxmlformats.org/drawingml/2006/main" xmlns:pic="http://schemas.openxmlformats.org/drawingml/2006/picture">
            <wp:extent cx="5580000" cy="3472816"/>
            <wp:docPr id="4" name="Picture 4"/>
            <wp:cNvGraphicFramePr>
              <a:graphicFrameLocks noChangeAspect="1"/>
            </wp:cNvGraphicFramePr>
            <a:graphic>
              <a:graphicData uri="http://schemas.openxmlformats.org/drawingml/2006/picture">
                <pic:pic>
                  <pic:nvPicPr>
                    <pic:cNvPr id="0" name="erd-00-peta.png"/>
                    <pic:cNvPicPr/>
                  </pic:nvPicPr>
                  <pic:blipFill>
                    <a:blip r:embed="rId14"/>
                    <a:stretch>
                      <a:fillRect/>
                    </a:stretch>
                  </pic:blipFill>
                  <pic:spPr>
                    <a:xfrm>
                      <a:off x="0" y="0"/>
                      <a:ext cx="5580000" cy="3472816"/>
                    </a:xfrm>
                    <a:prstGeom prst="rect"/>
                  </pic:spPr>
                </pic:pic>
              </a:graphicData>
            </a:graphic>
          </wp:inline>
        </w:drawing>
      </w:r>
    </w:p>
    <w:p>
      <w:pPr>
        <w:jc w:val="center"/>
      </w:pPr>
      <w:r>
        <w:rPr>
          <w:i/>
          <w:color w:val="6E728C"/>
          <w:sz w:val="18"/>
        </w:rPr>
        <w:t>Peta seluruh tabel — hampir semuanya menggantung pada restaurants</w:t>
      </w:r>
    </w:p>
    <w:p>
      <w:r>
        <w:rPr>
          <w:sz w:val="21"/>
        </w:rPr>
        <w:t>Menghapus sebuah resto menghapus seluruh isinya, dan itu memang yang diinginkan. Yang perlu diingat: tidak ada satu pun tabel keuangan yang kebal dari itu. Jurnal GL sebuah resto ikut hilang bersama restonya.</w:t>
      </w:r>
    </w:p>
    <w:p>
      <w:pPr>
        <w:spacing w:before="160"/>
        <w:jc w:val="center"/>
      </w:pPr>
      <w:r>
        <w:drawing>
          <wp:inline xmlns:a="http://schemas.openxmlformats.org/drawingml/2006/main" xmlns:pic="http://schemas.openxmlformats.org/drawingml/2006/picture">
            <wp:extent cx="5580000" cy="3098368"/>
            <wp:docPr id="5" name="Picture 5"/>
            <wp:cNvGraphicFramePr>
              <a:graphicFrameLocks noChangeAspect="1"/>
            </wp:cNvGraphicFramePr>
            <a:graphic>
              <a:graphicData uri="http://schemas.openxmlformats.org/drawingml/2006/picture">
                <pic:pic>
                  <pic:nvPicPr>
                    <pic:cNvPr id="0" name="erd-01-katalog.png"/>
                    <pic:cNvPicPr/>
                  </pic:nvPicPr>
                  <pic:blipFill>
                    <a:blip r:embed="rId15"/>
                    <a:stretch>
                      <a:fillRect/>
                    </a:stretch>
                  </pic:blipFill>
                  <pic:spPr>
                    <a:xfrm>
                      <a:off x="0" y="0"/>
                      <a:ext cx="5580000" cy="3098368"/>
                    </a:xfrm>
                    <a:prstGeom prst="rect"/>
                  </pic:spPr>
                </pic:pic>
              </a:graphicData>
            </a:graphic>
          </wp:inline>
        </w:drawing>
      </w:r>
    </w:p>
    <w:p>
      <w:pPr>
        <w:jc w:val="center"/>
      </w:pPr>
      <w:r>
        <w:rPr>
          <w:i/>
          <w:color w:val="6E728C"/>
          <w:sz w:val="18"/>
        </w:rPr>
        <w:t>Katalog &amp; pengaturan resto</w:t>
      </w:r>
    </w:p>
    <w:p>
      <w:r>
        <w:rPr>
          <w:rFonts w:ascii="Consolas" w:hAnsi="Consolas"/>
          <w:color w:val="3730A3"/>
          <w:sz w:val="21"/>
        </w:rPr>
        <w:t>products.category</w:t>
      </w:r>
      <w:r>
        <w:rPr>
          <w:sz w:val="21"/>
        </w:rPr>
        <w:t xml:space="preserve"> menyimpan </w:t>
      </w:r>
      <w:r>
        <w:rPr>
          <w:b/>
          <w:sz w:val="21"/>
        </w:rPr>
        <w:t>nama</w:t>
      </w:r>
      <w:r>
        <w:rPr>
          <w:sz w:val="21"/>
        </w:rPr>
        <w:t xml:space="preserve"> kategorinya, bukan id-nya. Itu warisan dari sebelum tabel </w:t>
      </w:r>
      <w:r>
        <w:rPr>
          <w:rFonts w:ascii="Consolas" w:hAnsi="Consolas"/>
          <w:color w:val="3730A3"/>
          <w:sz w:val="21"/>
        </w:rPr>
        <w:t>categories</w:t>
      </w:r>
      <w:r>
        <w:rPr>
          <w:sz w:val="21"/>
        </w:rPr>
        <w:t xml:space="preserve"> ada, dan akibatnya masih terasa: mengganti nama kategori tidak ikut mengganti nama di produknya.</w:t>
      </w:r>
    </w:p>
    <w:p>
      <w:pPr>
        <w:spacing w:before="160"/>
        <w:jc w:val="center"/>
      </w:pPr>
      <w:r>
        <w:drawing>
          <wp:inline xmlns:a="http://schemas.openxmlformats.org/drawingml/2006/main" xmlns:pic="http://schemas.openxmlformats.org/drawingml/2006/picture">
            <wp:extent cx="5580000" cy="3098368"/>
            <wp:docPr id="6" name="Picture 6"/>
            <wp:cNvGraphicFramePr>
              <a:graphicFrameLocks noChangeAspect="1"/>
            </wp:cNvGraphicFramePr>
            <a:graphic>
              <a:graphicData uri="http://schemas.openxmlformats.org/drawingml/2006/picture">
                <pic:pic>
                  <pic:nvPicPr>
                    <pic:cNvPr id="0" name="erd-02-pesanan.png"/>
                    <pic:cNvPicPr/>
                  </pic:nvPicPr>
                  <pic:blipFill>
                    <a:blip r:embed="rId16"/>
                    <a:stretch>
                      <a:fillRect/>
                    </a:stretch>
                  </pic:blipFill>
                  <pic:spPr>
                    <a:xfrm>
                      <a:off x="0" y="0"/>
                      <a:ext cx="5580000" cy="3098368"/>
                    </a:xfrm>
                    <a:prstGeom prst="rect"/>
                  </pic:spPr>
                </pic:pic>
              </a:graphicData>
            </a:graphic>
          </wp:inline>
        </w:drawing>
      </w:r>
    </w:p>
    <w:p>
      <w:pPr>
        <w:jc w:val="center"/>
      </w:pPr>
      <w:r>
        <w:rPr>
          <w:i/>
          <w:color w:val="6E728C"/>
          <w:sz w:val="18"/>
        </w:rPr>
        <w:t>Pesanan, sesi meja, dan pembayaran</w:t>
      </w:r>
    </w:p>
    <w:p>
      <w:r>
        <w:rPr>
          <w:b/>
          <w:sz w:val="21"/>
        </w:rPr>
        <w:t>Tidak ada tabel baris pesanan.</w:t>
      </w:r>
      <w:r>
        <w:rPr>
          <w:sz w:val="21"/>
        </w:rPr>
        <w:t xml:space="preserve"> Isi pesanan disimpan sebagai jsonb di </w:t>
      </w:r>
      <w:r>
        <w:rPr>
          <w:rFonts w:ascii="Consolas" w:hAnsi="Consolas"/>
          <w:color w:val="3730A3"/>
          <w:sz w:val="21"/>
        </w:rPr>
        <w:t>orders.items</w:t>
      </w:r>
      <w:r>
        <w:rPr>
          <w:sz w:val="21"/>
        </w:rPr>
        <w:t xml:space="preserve">. Itu keputusan yang disengaja: struk harus menyebut menu persis seperti saat dipesan — nama, harga, dan level yang dipilih — sementara menu di katalog boleh berubah besok. Baris pesanan yang merujuk </w:t>
      </w:r>
      <w:r>
        <w:rPr>
          <w:rFonts w:ascii="Consolas" w:hAnsi="Consolas"/>
          <w:color w:val="3730A3"/>
          <w:sz w:val="21"/>
        </w:rPr>
        <w:t>products.id</w:t>
      </w:r>
      <w:r>
        <w:rPr>
          <w:sz w:val="21"/>
        </w:rPr>
        <w:t xml:space="preserve"> akan ikut berubah bersama produknya, dan struk lama jadi berbohong.</w:t>
      </w:r>
    </w:p>
    <w:p>
      <w:r>
        <w:rPr>
          <w:sz w:val="21"/>
        </w:rPr>
        <w:t>Harganya juga: yang tersimpan adalah harga saat itu, bukan rujukan ke harga sekarang.</w:t>
      </w:r>
    </w:p>
    <w:p>
      <w:pPr>
        <w:spacing w:before="160"/>
        <w:jc w:val="center"/>
      </w:pPr>
      <w:r>
        <w:drawing>
          <wp:inline xmlns:a="http://schemas.openxmlformats.org/drawingml/2006/main" xmlns:pic="http://schemas.openxmlformats.org/drawingml/2006/picture">
            <wp:extent cx="5580000" cy="2716579"/>
            <wp:docPr id="7" name="Picture 7"/>
            <wp:cNvGraphicFramePr>
              <a:graphicFrameLocks noChangeAspect="1"/>
            </wp:cNvGraphicFramePr>
            <a:graphic>
              <a:graphicData uri="http://schemas.openxmlformats.org/drawingml/2006/picture">
                <pic:pic>
                  <pic:nvPicPr>
                    <pic:cNvPr id="0" name="erd-03-keuangan.png"/>
                    <pic:cNvPicPr/>
                  </pic:nvPicPr>
                  <pic:blipFill>
                    <a:blip r:embed="rId17"/>
                    <a:stretch>
                      <a:fillRect/>
                    </a:stretch>
                  </pic:blipFill>
                  <pic:spPr>
                    <a:xfrm>
                      <a:off x="0" y="0"/>
                      <a:ext cx="5580000" cy="2716579"/>
                    </a:xfrm>
                    <a:prstGeom prst="rect"/>
                  </pic:spPr>
                </pic:pic>
              </a:graphicData>
            </a:graphic>
          </wp:inline>
        </w:drawing>
      </w:r>
    </w:p>
    <w:p>
      <w:pPr>
        <w:jc w:val="center"/>
      </w:pPr>
      <w:r>
        <w:rPr>
          <w:i/>
          <w:color w:val="6E728C"/>
          <w:sz w:val="18"/>
        </w:rPr>
        <w:t>Buku besar — seluruhnya diisi pemicu, tidak ada kunci asing ke jurnal</w:t>
      </w:r>
    </w:p>
    <w:p>
      <w:r>
        <w:rPr>
          <w:sz w:val="21"/>
        </w:rPr>
        <w:t xml:space="preserve">Seluruh panah ke </w:t>
      </w:r>
      <w:r>
        <w:rPr>
          <w:rFonts w:ascii="Consolas" w:hAnsi="Consolas"/>
          <w:color w:val="3730A3"/>
          <w:sz w:val="21"/>
        </w:rPr>
        <w:t>gl_journal_entries</w:t>
      </w:r>
      <w:r>
        <w:rPr>
          <w:sz w:val="21"/>
        </w:rPr>
        <w:t xml:space="preserve"> putus, dan itu bukan kelalaian. </w:t>
      </w:r>
      <w:r>
        <w:rPr>
          <w:rFonts w:ascii="Consolas" w:hAnsi="Consolas"/>
          <w:color w:val="3730A3"/>
          <w:sz w:val="21"/>
        </w:rPr>
        <w:t>reference_id</w:t>
      </w:r>
      <w:r>
        <w:rPr>
          <w:sz w:val="21"/>
        </w:rPr>
        <w:t xml:space="preserve"> bisa menunjuk pesanan, pengeluaran, kas kecil, setoran, atau pencairan — lima tabel berbeda, dibedakan </w:t>
      </w:r>
      <w:r>
        <w:rPr>
          <w:rFonts w:ascii="Consolas" w:hAnsi="Consolas"/>
          <w:color w:val="3730A3"/>
          <w:sz w:val="21"/>
        </w:rPr>
        <w:t>reference_type</w:t>
      </w:r>
      <w:r>
        <w:rPr>
          <w:sz w:val="21"/>
        </w:rPr>
        <w:t>. Satu kolom tidak bisa berkunci asing ke lima tabel sekaligus.</w:t>
      </w:r>
    </w:p>
    <w:p>
      <w:r>
        <w:rPr>
          <w:sz w:val="21"/>
        </w:rPr>
        <w:t>Harganya adalah jurnal yang bisa menunjuk baris yang sudah terhapus. Yang menutupi itu adalah fungsi pembalik: menghapus pengeluaran menuliskan jurnal balikannya, bukan menghapus jurnal aslinya. Jurnal tidak pernah dihapus — hanya ditambah.</w:t>
      </w:r>
    </w:p>
    <w:p>
      <w:pPr>
        <w:spacing w:before="160"/>
        <w:jc w:val="center"/>
      </w:pPr>
      <w:r>
        <w:drawing>
          <wp:inline xmlns:a="http://schemas.openxmlformats.org/drawingml/2006/main" xmlns:pic="http://schemas.openxmlformats.org/drawingml/2006/picture">
            <wp:extent cx="5580000" cy="2621132"/>
            <wp:docPr id="8" name="Picture 8"/>
            <wp:cNvGraphicFramePr>
              <a:graphicFrameLocks noChangeAspect="1"/>
            </wp:cNvGraphicFramePr>
            <a:graphic>
              <a:graphicData uri="http://schemas.openxmlformats.org/drawingml/2006/picture">
                <pic:pic>
                  <pic:nvPicPr>
                    <pic:cNvPr id="0" name="erd-04-promo.png"/>
                    <pic:cNvPicPr/>
                  </pic:nvPicPr>
                  <pic:blipFill>
                    <a:blip r:embed="rId18"/>
                    <a:stretch>
                      <a:fillRect/>
                    </a:stretch>
                  </pic:blipFill>
                  <pic:spPr>
                    <a:xfrm>
                      <a:off x="0" y="0"/>
                      <a:ext cx="5580000" cy="2621132"/>
                    </a:xfrm>
                    <a:prstGeom prst="rect"/>
                  </pic:spPr>
                </pic:pic>
              </a:graphicData>
            </a:graphic>
          </wp:inline>
        </w:drawing>
      </w:r>
    </w:p>
    <w:p>
      <w:pPr>
        <w:jc w:val="center"/>
      </w:pPr>
      <w:r>
        <w:rPr>
          <w:i/>
          <w:color w:val="6E728C"/>
          <w:sz w:val="18"/>
        </w:rPr>
        <w:t>Diskon &amp; banner promo</w:t>
      </w:r>
    </w:p>
    <w:p>
      <w:r>
        <w:rPr>
          <w:rFonts w:ascii="Consolas" w:hAnsi="Consolas"/>
          <w:color w:val="3730A3"/>
          <w:sz w:val="21"/>
        </w:rPr>
        <w:t>discounts</w:t>
      </w:r>
      <w:r>
        <w:rPr>
          <w:sz w:val="21"/>
        </w:rPr>
        <w:t xml:space="preserve"> menunjuk produk lewat id </w:t>
      </w:r>
      <w:r>
        <w:rPr>
          <w:b/>
          <w:sz w:val="21"/>
        </w:rPr>
        <w:t>di dalam jsonb</w:t>
      </w:r>
      <w:r>
        <w:rPr>
          <w:sz w:val="21"/>
        </w:rPr>
        <w:t>, jadi tidak ada yang mencegah promo menunjuk menu yang sudah dihapus. Promo semacam itu tidak pernah mengenai apa pun dan tidak menimbulkan galat — ia hanya diam.</w:t>
      </w:r>
    </w:p>
    <w:p>
      <w:r>
        <w:rPr>
          <w:sz w:val="21"/>
        </w:rPr>
        <w:t xml:space="preserve">Ke arah pesanan, hubungannya sengaja diputus: </w:t>
      </w:r>
      <w:r>
        <w:rPr>
          <w:rFonts w:ascii="Consolas" w:hAnsi="Consolas"/>
          <w:color w:val="3730A3"/>
          <w:sz w:val="21"/>
        </w:rPr>
        <w:t>orders.discount_amount</w:t>
      </w:r>
      <w:r>
        <w:rPr>
          <w:sz w:val="21"/>
        </w:rPr>
        <w:t xml:space="preserve"> adalah salinan, bukan rujukan. Aturan promonya boleh disunting atau dihapus besok tanpa mengubah struk hari ini.</w:t>
      </w:r>
    </w:p>
    <w:p>
      <w:pPr>
        <w:spacing w:before="160"/>
        <w:jc w:val="center"/>
      </w:pPr>
      <w:r>
        <w:drawing>
          <wp:inline xmlns:a="http://schemas.openxmlformats.org/drawingml/2006/main" xmlns:pic="http://schemas.openxmlformats.org/drawingml/2006/picture">
            <wp:extent cx="5580000" cy="2812026"/>
            <wp:docPr id="9" name="Picture 9"/>
            <wp:cNvGraphicFramePr>
              <a:graphicFrameLocks noChangeAspect="1"/>
            </wp:cNvGraphicFramePr>
            <a:graphic>
              <a:graphicData uri="http://schemas.openxmlformats.org/drawingml/2006/picture">
                <pic:pic>
                  <pic:nvPicPr>
                    <pic:cNvPr id="0" name="erd-05-kabar.png"/>
                    <pic:cNvPicPr/>
                  </pic:nvPicPr>
                  <pic:blipFill>
                    <a:blip r:embed="rId19"/>
                    <a:stretch>
                      <a:fillRect/>
                    </a:stretch>
                  </pic:blipFill>
                  <pic:spPr>
                    <a:xfrm>
                      <a:off x="0" y="0"/>
                      <a:ext cx="5580000" cy="2812026"/>
                    </a:xfrm>
                    <a:prstGeom prst="rect"/>
                  </pic:spPr>
                </pic:pic>
              </a:graphicData>
            </a:graphic>
          </wp:inline>
        </w:drawing>
      </w:r>
    </w:p>
    <w:p>
      <w:pPr>
        <w:jc w:val="center"/>
      </w:pPr>
      <w:r>
        <w:rPr>
          <w:i/>
          <w:color w:val="6E728C"/>
          <w:sz w:val="18"/>
        </w:rPr>
        <w:t>Pengumuman &amp; notifikasi</w:t>
      </w:r>
    </w:p>
    <w:p>
      <w:r>
        <w:rPr>
          <w:rFonts w:ascii="Consolas" w:hAnsi="Consolas"/>
          <w:color w:val="3730A3"/>
          <w:sz w:val="21"/>
        </w:rPr>
        <w:t>inbox_states</w:t>
      </w:r>
      <w:r>
        <w:rPr>
          <w:sz w:val="21"/>
        </w:rPr>
        <w:t xml:space="preserve"> memisahkan penanda "sudah dibaca" dari pengumumannya. Satu pengumuman dibaca banyak orang pada waktu berbeda — menaruh penandanya di barisnya sendiri berarti pengumuman itu hanya bisa "sudah dibaca" oleh satu orang.</w:t>
      </w:r>
    </w:p>
    <w:p>
      <w:pPr>
        <w:pStyle w:val="Heading2"/>
      </w:pPr>
      <w:r>
        <w:t>4.1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resto_billing</w:t>
            </w:r>
          </w:p>
        </w:tc>
        <w:tc>
          <w:tcPr>
            <w:tcW w:type="dxa" w:w="4929"/>
          </w:tcPr>
          <w:p>
            <w:pPr>
              <w:spacing w:after="40" w:before="40"/>
            </w:pPr>
            <w:r>
              <w:rPr>
                <w:sz w:val="19"/>
              </w:rPr>
              <w:t>Harga &amp; tanggal langganan tiap resto</w:t>
            </w:r>
          </w:p>
        </w:tc>
      </w:tr>
      <w:tr>
        <w:tc>
          <w:tcPr>
            <w:tcW w:type="dxa" w:w="4929"/>
            <w:shd w:val="clear" w:fill="F4F5FB"/>
          </w:tcPr>
          <w:p>
            <w:pPr>
              <w:spacing w:after="40" w:before="40"/>
            </w:pPr>
            <w:r>
              <w:rPr>
                <w:rFonts w:ascii="Consolas" w:hAnsi="Consolas"/>
                <w:color w:val="3730A3"/>
                <w:sz w:val="19"/>
              </w:rPr>
              <w:t>billing_invoices</w:t>
            </w:r>
          </w:p>
        </w:tc>
        <w:tc>
          <w:tcPr>
            <w:tcW w:type="dxa" w:w="4929"/>
            <w:shd w:val="clear" w:fill="F4F5FB"/>
          </w:tcPr>
          <w:p>
            <w:pPr>
              <w:spacing w:after="40" w:before="40"/>
            </w:pPr>
            <w:r>
              <w:rPr>
                <w:sz w:val="19"/>
              </w:rPr>
              <w:t>Tagihan bulanan berikut bukti bayarnya</w:t>
            </w:r>
          </w:p>
        </w:tc>
      </w:tr>
      <w:tr>
        <w:tc>
          <w:tcPr>
            <w:tcW w:type="dxa" w:w="4929"/>
          </w:tcPr>
          <w:p>
            <w:pPr>
              <w:spacing w:after="40" w:before="40"/>
            </w:pPr>
            <w:r>
              <w:rPr>
                <w:rFonts w:ascii="Consolas" w:hAnsi="Consolas"/>
                <w:color w:val="3730A3"/>
                <w:sz w:val="19"/>
              </w:rPr>
              <w:t>billing_discounts</w:t>
            </w:r>
          </w:p>
        </w:tc>
        <w:tc>
          <w:tcPr>
            <w:tcW w:type="dxa" w:w="4929"/>
          </w:tcPr>
          <w:p>
            <w:pPr>
              <w:spacing w:after="40" w:before="40"/>
            </w:pPr>
            <w:r>
              <w:rPr>
                <w:sz w:val="19"/>
              </w:rPr>
              <w:t>Potongan harga langganan untuk resto terpilih</w:t>
            </w:r>
          </w:p>
        </w:tc>
      </w:tr>
      <w:tr>
        <w:tc>
          <w:tcPr>
            <w:tcW w:type="dxa" w:w="4929"/>
            <w:shd w:val="clear" w:fill="F4F5FB"/>
          </w:tcPr>
          <w:p>
            <w:pPr>
              <w:spacing w:after="40" w:before="40"/>
            </w:pPr>
            <w:r>
              <w:rPr>
                <w:rFonts w:ascii="Consolas" w:hAnsi="Consolas"/>
                <w:color w:val="3730A3"/>
                <w:sz w:val="19"/>
              </w:rPr>
              <w:t>applied_migrations</w:t>
            </w:r>
          </w:p>
        </w:tc>
        <w:tc>
          <w:tcPr>
            <w:tcW w:type="dxa" w:w="4929"/>
            <w:shd w:val="clear" w:fill="F4F5FB"/>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4.2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4.3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4.4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4.5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7.3 Langganan resto</w:t>
      </w:r>
    </w:p>
    <w:p>
      <w:r>
        <w:rPr>
          <w:sz w:val="21"/>
        </w:rPr>
        <w:t>Satu-satunya aliran uang yang arahnya keluar dari resto menuju KaataGo. Dipisah sepenuhnya dari buku besar resto — jurnal GL mencatat uang yang masuk ke restonya, dan menyeret tagihan langganan ke sana akan membuat biaya kami muncul sebagai pengeluaran resto di laporan yang dibaca Finance mereka.</w:t>
      </w:r>
    </w:p>
    <w:p>
      <w:pPr>
        <w:pStyle w:val="Heading2"/>
      </w:pPr>
      <w:r>
        <w:t>Penguncian ditegakkan di RLS, bukan di layar</w:t>
      </w:r>
    </w:p>
    <w:p>
      <w:r>
        <w:rPr>
          <w:sz w:val="21"/>
        </w:rPr>
        <w:t>Layar yang terkunci hanyalah layar. Aplikasi ini berbicara langsung ke Postgres tanpa server perantara, jadi siapa pun yang memegang kunci publik proyek bisa memanggil API-nya langsung dan tetap membuat pesanan.</w:t>
      </w:r>
    </w:p>
    <w:p>
      <w:r>
        <w:rPr>
          <w:sz w:val="21"/>
        </w:rPr>
        <w:t xml:space="preserve">Karena itu penguncian dipasang sebagai kebijakan </w:t>
      </w:r>
      <w:r>
        <w:rPr>
          <w:b/>
          <w:sz w:val="21"/>
        </w:rPr>
        <w:t>RESTRICTIVE</w:t>
      </w:r>
      <w:r>
        <w:rPr>
          <w:sz w:val="21"/>
        </w:rPr>
        <w:t>:</w:t>
      </w:r>
    </w:p>
    <w:p>
      <w:pPr>
        <w:shd w:val="clear" w:fill="F2F3F8"/>
        <w:spacing w:before="80"/>
        <w:ind w:left="283"/>
      </w:pPr>
      <w:r>
        <w:rPr>
          <w:rFonts w:ascii="Consolas" w:hAnsi="Consolas"/>
          <w:color w:val="3730A3"/>
          <w:sz w:val="19"/>
        </w:rPr>
        <w:t>create policy "orders: billing lock" on orders</w:t>
        <w:br/>
        <w:t xml:space="preserve">  as restrictive for insert</w:t>
        <w:br/>
        <w:t xml:space="preserve">  with check (not is_resto_billing_locked(resto_id));</w:t>
      </w:r>
    </w:p>
    <w:p>
      <w:pPr>
        <w:shd w:val="clear" w:fill="FFF7E6"/>
        <w:pBdr>
          <w:left w:val="single" w:sz="18" w:space="6" w:color="F59E0B"/>
        </w:pBdr>
        <w:spacing w:before="120"/>
        <w:ind w:left="227"/>
      </w:pPr>
      <w:r>
        <w:rPr>
          <w:b/>
          <w:sz w:val="20"/>
        </w:rPr>
        <w:t>Restrictive, bukan permissive — dan itu bukan detail.</w:t>
      </w:r>
      <w:r>
        <w:rPr>
          <w:sz w:val="20"/>
        </w:rPr>
        <w:t xml:space="preserve"> Kebijakan permissive digabung dengan </w:t>
      </w:r>
      <w:r>
        <w:rPr>
          <w:b/>
          <w:sz w:val="20"/>
        </w:rPr>
        <w:t>OR</w:t>
      </w:r>
      <w:r>
        <w:rPr>
          <w:sz w:val="20"/>
        </w:rPr>
        <w:t xml:space="preserve">: menambah satu lagi justru </w:t>
      </w:r>
      <w:r>
        <w:rPr>
          <w:i/>
          <w:sz w:val="20"/>
        </w:rPr>
        <w:t>melonggarkan</w:t>
      </w:r>
      <w:r>
        <w:rPr>
          <w:sz w:val="20"/>
        </w:rPr>
        <w:t xml:space="preserve"> aksesnya, dan kunci yang dipasang begitu tidak mengunci apa pun. Yang restrictive digabung dengan </w:t>
      </w:r>
      <w:r>
        <w:rPr>
          <w:b/>
          <w:sz w:val="20"/>
        </w:rPr>
        <w:t>AND</w:t>
      </w:r>
      <w:r>
        <w:rPr>
          <w:sz w:val="20"/>
        </w:rPr>
        <w:t>, dan itulah satu-satunya bentuk yang benar-benar menutup pintu tanpa menyentuh kebijakan yang sudah ada.</w:t>
      </w:r>
    </w:p>
    <w:p>
      <w:r>
        <w:rPr>
          <w:rFonts w:ascii="Consolas" w:hAnsi="Consolas"/>
          <w:color w:val="3730A3"/>
          <w:sz w:val="21"/>
        </w:rPr>
        <w:t>BillingGate</w:t>
      </w:r>
      <w:r>
        <w:rPr>
          <w:sz w:val="21"/>
        </w:rPr>
        <w:t xml:space="preserve"> di aplikasi tidak menegakkan apa pun — ia menerjemahkan keadaan yang sama jadi sesuatu yang bisa dibaca orang. Keduanya membaca </w:t>
      </w:r>
      <w:r>
        <w:rPr>
          <w:rFonts w:ascii="Consolas" w:hAnsi="Consolas"/>
          <w:color w:val="3730A3"/>
          <w:sz w:val="21"/>
        </w:rPr>
        <w:t>resto_billing_state()</w:t>
      </w:r>
      <w:r>
        <w:rPr>
          <w:sz w:val="21"/>
        </w:rPr>
        <w:t>, satu fungsi yang sama. Kalau keduanya sampai berbeda pendapat, yang menang database, dan gejalanya adalah tombol yang bisa ditekan tapi tidak menyimpan apa pun.</w:t>
      </w:r>
    </w:p>
    <w:p>
      <w:pPr>
        <w:pStyle w:val="Heading2"/>
      </w:pPr>
      <w:r>
        <w:t>Yang sengaja tidak dikunci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Tetap terbuka</w:t>
            </w:r>
          </w:p>
        </w:tc>
        <w:tc>
          <w:tcPr>
            <w:tcW w:type="dxa" w:w="4929"/>
            <w:shd w:val="clear" w:fill="4F46E5"/>
          </w:tcPr>
          <w:p>
            <w:pPr>
              <w:spacing w:after="40" w:before="40"/>
            </w:pPr>
            <w:r>
              <w:rPr>
                <w:b/>
                <w:color w:val="FFFFFF"/>
                <w:sz w:val="19"/>
              </w:rPr>
              <w:t>Kenapa</w:t>
            </w:r>
          </w:p>
        </w:tc>
      </w:tr>
      <w:tr>
        <w:tc>
          <w:tcPr>
            <w:tcW w:type="dxa" w:w="4929"/>
          </w:tcPr>
          <w:p>
            <w:pPr>
              <w:spacing w:after="40" w:before="40"/>
            </w:pPr>
            <w:r>
              <w:rPr>
                <w:sz w:val="19"/>
              </w:rPr>
              <w:t>Membaca tagihan sendiri</w:t>
            </w:r>
          </w:p>
        </w:tc>
        <w:tc>
          <w:tcPr>
            <w:tcW w:type="dxa" w:w="4929"/>
          </w:tcPr>
          <w:p>
            <w:pPr>
              <w:spacing w:after="40" w:before="40"/>
            </w:pPr>
            <w:r>
              <w:rPr>
                <w:sz w:val="19"/>
              </w:rPr>
              <w:t>Orang berhak tahu berapa yang ditagihkan kepadanya</w:t>
            </w:r>
          </w:p>
        </w:tc>
      </w:tr>
      <w:tr>
        <w:tc>
          <w:tcPr>
            <w:tcW w:type="dxa" w:w="4929"/>
            <w:shd w:val="clear" w:fill="F4F5FB"/>
          </w:tcPr>
          <w:p>
            <w:pPr>
              <w:spacing w:after="40" w:before="40"/>
            </w:pPr>
            <w:r>
              <w:rPr>
                <w:sz w:val="19"/>
              </w:rPr>
              <w:t>Mengunggah bukti bayar</w:t>
            </w:r>
          </w:p>
        </w:tc>
        <w:tc>
          <w:tcPr>
            <w:tcW w:type="dxa" w:w="4929"/>
            <w:shd w:val="clear" w:fill="F4F5FB"/>
          </w:tcPr>
          <w:p>
            <w:pPr>
              <w:spacing w:after="40" w:before="40"/>
            </w:pPr>
            <w:r>
              <w:rPr>
                <w:sz w:val="19"/>
              </w:rPr>
              <w:t>Inilah satu-satunya jalan keluar dari penguncian</w:t>
            </w:r>
          </w:p>
        </w:tc>
      </w:tr>
      <w:tr>
        <w:tc>
          <w:tcPr>
            <w:tcW w:type="dxa" w:w="4929"/>
          </w:tcPr>
          <w:p>
            <w:pPr>
              <w:spacing w:after="40" w:before="40"/>
            </w:pPr>
            <w:r>
              <w:rPr>
                <w:sz w:val="19"/>
              </w:rPr>
              <w:t>Keluar akun</w:t>
            </w:r>
          </w:p>
        </w:tc>
        <w:tc>
          <w:tcPr>
            <w:tcW w:type="dxa" w:w="4929"/>
          </w:tcPr>
          <w:p>
            <w:pPr>
              <w:spacing w:after="40" w:before="40"/>
            </w:pPr>
            <w:r>
              <w:rPr>
                <w:sz w:val="19"/>
              </w:rPr>
              <w:t>Perangkat yang dipinjam tidak boleh tersangkut di layar terkunci</w:t>
            </w:r>
          </w:p>
        </w:tc>
      </w:tr>
      <w:tr>
        <w:tc>
          <w:tcPr>
            <w:tcW w:type="dxa" w:w="4929"/>
            <w:shd w:val="clear" w:fill="F4F5FB"/>
          </w:tcPr>
          <w:p>
            <w:pPr>
              <w:spacing w:after="40" w:before="40"/>
            </w:pPr>
            <w:r>
              <w:rPr>
                <w:sz w:val="19"/>
              </w:rPr>
              <w:t>Seluruh layar Super Admin</w:t>
            </w:r>
          </w:p>
        </w:tc>
        <w:tc>
          <w:tcPr>
            <w:tcW w:type="dxa" w:w="4929"/>
            <w:shd w:val="clear" w:fill="F4F5FB"/>
          </w:tcPr>
          <w:p>
            <w:pPr>
              <w:spacing w:after="40" w:before="40"/>
            </w:pPr>
            <w:r>
              <w:rPr>
                <w:sz w:val="19"/>
              </w:rPr>
              <w:t>Dialah yang membuka kuncinya</w:t>
            </w:r>
          </w:p>
        </w:tc>
      </w:tr>
    </w:tbl>
    <w:p>
      <w:pPr>
        <w:pStyle w:val="Heading2"/>
      </w:pPr>
      <w:r>
        <w:t>Alurnya</w:t>
      </w:r>
    </w:p>
    <w:p>
      <w:pPr>
        <w:shd w:val="clear" w:fill="F2F3F8"/>
        <w:spacing w:before="80"/>
        <w:ind w:left="283"/>
      </w:pPr>
      <w:r>
        <w:rPr>
          <w:rFonts w:ascii="Consolas" w:hAnsi="Consolas"/>
          <w:color w:val="3730A3"/>
          <w:sz w:val="19"/>
        </w:rPr>
        <w:t>pg_cron (harian) → generate_billing_invoices()</w:t>
        <w:br/>
        <w:t xml:space="preserve">                   terbit H-7 sebelum jatuh tempo</w:t>
        <w:br/>
        <w:t xml:space="preserve">                            ↓</w:t>
        <w:br/>
        <w:t xml:space="preserve">        H-3: BillingGate menampilkan pita pengingat</w:t>
        <w:br/>
        <w:t xml:space="preserve">                            ↓</w:t>
        <w:br/>
        <w:t xml:space="preserve">   resto → create-billing-va (Edge) → Xendit → nomor VA</w:t>
        <w:br/>
        <w:t xml:space="preserve">                            ↓</w:t>
        <w:br/>
        <w:t xml:space="preserve">                  (resto transfer ke VA)</w:t>
        <w:br/>
        <w:t xml:space="preserve">                            ↓</w:t>
        <w:br/>
        <w:t xml:space="preserve">   Xendit → xendit-billing-webhook → settle_billing_va()</w:t>
        <w:br/>
        <w:t xml:space="preserve">                            ↓</w:t>
        <w:br/>
        <w:t xml:space="preserve">                      status 'paid' — kunci terbuka sendiri</w:t>
      </w:r>
    </w:p>
    <w:p>
      <w:r>
        <w:rPr>
          <w:b/>
          <w:sz w:val="21"/>
        </w:rPr>
        <w:t>Jalur cadangan</w:t>
      </w:r>
      <w:r>
        <w:rPr>
          <w:sz w:val="21"/>
        </w:rPr>
        <w:t xml:space="preserve"> untuk transfer manual tetap ada: resto mengunggah bukti lewat </w:t>
      </w:r>
      <w:r>
        <w:rPr>
          <w:rFonts w:ascii="Consolas" w:hAnsi="Consolas"/>
          <w:color w:val="3730A3"/>
          <w:sz w:val="21"/>
        </w:rPr>
        <w:t>submit_billing_payment</w:t>
      </w:r>
      <w:r>
        <w:rPr>
          <w:sz w:val="21"/>
        </w:rPr>
        <w:t xml:space="preserve"> (hanya bisa menulis </w:t>
      </w:r>
      <w:r>
        <w:rPr>
          <w:rFonts w:ascii="Consolas" w:hAnsi="Consolas"/>
          <w:color w:val="3730A3"/>
          <w:sz w:val="21"/>
        </w:rPr>
        <w:t>review</w:t>
      </w:r>
      <w:r>
        <w:rPr>
          <w:sz w:val="21"/>
        </w:rPr>
        <w:t xml:space="preserve">), dan Super Admin memutuskannya lewat </w:t>
      </w:r>
      <w:r>
        <w:rPr>
          <w:rFonts w:ascii="Consolas" w:hAnsi="Consolas"/>
          <w:color w:val="3730A3"/>
          <w:sz w:val="21"/>
        </w:rPr>
        <w:t>review_billing_payment</w:t>
      </w:r>
      <w:r>
        <w:rPr>
          <w:sz w:val="21"/>
        </w:rPr>
        <w:t>. Menutup jalur ini berarti uang yang terlanjur masuk lewat cara lain tidak punya cara diakui.</w:t>
      </w:r>
    </w:p>
    <w:p>
      <w:pPr>
        <w:pStyle w:val="Heading2"/>
      </w:pPr>
      <w:r>
        <w:t>VA langganan tidak memakai sub-akun resto</w:t>
      </w:r>
    </w:p>
    <w:p>
      <w:r>
        <w:rPr>
          <w:sz w:val="21"/>
        </w:rPr>
        <w:t xml:space="preserve">Inilah satu-satunya perbedaan yang benar-benar penting antara </w:t>
      </w:r>
      <w:r>
        <w:rPr>
          <w:rFonts w:ascii="Consolas" w:hAnsi="Consolas"/>
          <w:color w:val="3730A3"/>
          <w:sz w:val="21"/>
        </w:rPr>
        <w:t>create-qris</w:t>
      </w:r>
      <w:r>
        <w:rPr>
          <w:sz w:val="21"/>
        </w:rPr>
        <w:t xml:space="preserve"> dan </w:t>
      </w:r>
      <w:r>
        <w:rPr>
          <w:rFonts w:ascii="Consolas" w:hAnsi="Consolas"/>
          <w:color w:val="3730A3"/>
          <w:sz w:val="21"/>
        </w:rPr>
        <w:t>create-billing-va</w:t>
      </w:r>
      <w:r>
        <w:rPr>
          <w:sz w:val="21"/>
        </w:rPr>
        <w:t xml:space="preserve">, dan satu-satunya kesalahan di fitur ini yang </w:t>
      </w:r>
      <w:r>
        <w:rPr>
          <w:b/>
          <w:sz w:val="21"/>
        </w:rPr>
        <w:t>tidak menghasilkan galat apa pun saat terjadi</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r>
          </w:p>
        </w:tc>
        <w:tc>
          <w:tcPr>
            <w:tcW w:type="dxa" w:w="3286"/>
            <w:shd w:val="clear" w:fill="4F46E5"/>
          </w:tcPr>
          <w:p>
            <w:pPr>
              <w:spacing w:after="40" w:before="40"/>
            </w:pPr>
            <w:r>
              <w:rPr>
                <w:b/>
                <w:color w:val="FFFFFF"/>
                <w:sz w:val="19"/>
              </w:rPr>
              <w:t>create-qris</w:t>
            </w:r>
          </w:p>
        </w:tc>
        <w:tc>
          <w:tcPr>
            <w:tcW w:type="dxa" w:w="3286"/>
            <w:shd w:val="clear" w:fill="4F46E5"/>
          </w:tcPr>
          <w:p>
            <w:pPr>
              <w:spacing w:after="40" w:before="40"/>
            </w:pPr>
            <w:r>
              <w:rPr>
                <w:b/>
                <w:color w:val="FFFFFF"/>
                <w:sz w:val="19"/>
              </w:rPr>
              <w:t>create-billing-va</w:t>
            </w:r>
          </w:p>
        </w:tc>
      </w:tr>
      <w:tr>
        <w:tc>
          <w:tcPr>
            <w:tcW w:type="dxa" w:w="3286"/>
          </w:tcPr>
          <w:p>
            <w:pPr>
              <w:spacing w:after="40" w:before="40"/>
            </w:pPr>
            <w:r>
              <w:rPr>
                <w:sz w:val="19"/>
              </w:rPr>
              <w:t xml:space="preserve">Header </w:t>
            </w:r>
            <w:r>
              <w:rPr>
                <w:rFonts w:ascii="Consolas" w:hAnsi="Consolas"/>
                <w:color w:val="3730A3"/>
                <w:sz w:val="19"/>
              </w:rPr>
              <w:t>for-user-id</w:t>
            </w:r>
          </w:p>
        </w:tc>
        <w:tc>
          <w:tcPr>
            <w:tcW w:type="dxa" w:w="3286"/>
          </w:tcPr>
          <w:p>
            <w:pPr>
              <w:spacing w:after="40" w:before="40"/>
            </w:pPr>
            <w:r>
              <w:rPr>
                <w:b/>
                <w:sz w:val="19"/>
              </w:rPr>
              <w:t>Dipasang</w:t>
            </w:r>
            <w:r>
              <w:rPr>
                <w:sz w:val="19"/>
              </w:rPr>
              <w:t xml:space="preserve"> — sub-akun resto</w:t>
            </w:r>
          </w:p>
        </w:tc>
        <w:tc>
          <w:tcPr>
            <w:tcW w:type="dxa" w:w="3286"/>
          </w:tcPr>
          <w:p>
            <w:pPr>
              <w:spacing w:after="40" w:before="40"/>
            </w:pPr>
            <w:r>
              <w:rPr>
                <w:b/>
                <w:sz w:val="19"/>
              </w:rPr>
              <w:t>Tidak dipasang</w:t>
            </w:r>
          </w:p>
        </w:tc>
      </w:tr>
      <w:tr>
        <w:tc>
          <w:tcPr>
            <w:tcW w:type="dxa" w:w="3286"/>
            <w:shd w:val="clear" w:fill="F4F5FB"/>
          </w:tcPr>
          <w:p>
            <w:pPr>
              <w:spacing w:after="40" w:before="40"/>
            </w:pPr>
            <w:r>
              <w:rPr>
                <w:sz w:val="19"/>
              </w:rPr>
              <w:t>Uangnya ke</w:t>
            </w:r>
          </w:p>
        </w:tc>
        <w:tc>
          <w:tcPr>
            <w:tcW w:type="dxa" w:w="3286"/>
            <w:shd w:val="clear" w:fill="F4F5FB"/>
          </w:tcPr>
          <w:p>
            <w:pPr>
              <w:spacing w:after="40" w:before="40"/>
            </w:pPr>
            <w:r>
              <w:rPr>
                <w:sz w:val="19"/>
              </w:rPr>
              <w:t>Rekening resto</w:t>
            </w:r>
          </w:p>
        </w:tc>
        <w:tc>
          <w:tcPr>
            <w:tcW w:type="dxa" w:w="3286"/>
            <w:shd w:val="clear" w:fill="F4F5FB"/>
          </w:tcPr>
          <w:p>
            <w:pPr>
              <w:spacing w:after="40" w:before="40"/>
            </w:pPr>
            <w:r>
              <w:rPr>
                <w:sz w:val="19"/>
              </w:rPr>
              <w:t>Rekening KaataGo</w:t>
            </w:r>
          </w:p>
        </w:tc>
      </w:tr>
      <w:tr>
        <w:tc>
          <w:tcPr>
            <w:tcW w:type="dxa" w:w="3286"/>
          </w:tcPr>
          <w:p>
            <w:pPr>
              <w:spacing w:after="40" w:before="40"/>
            </w:pPr>
            <w:r>
              <w:rPr>
                <w:sz w:val="19"/>
              </w:rPr>
              <w:t>Untuk</w:t>
            </w:r>
          </w:p>
        </w:tc>
        <w:tc>
          <w:tcPr>
            <w:tcW w:type="dxa" w:w="3286"/>
          </w:tcPr>
          <w:p>
            <w:pPr>
              <w:spacing w:after="40" w:before="40"/>
            </w:pPr>
            <w:r>
              <w:rPr>
                <w:sz w:val="19"/>
              </w:rPr>
              <w:t>Pesanan pelanggan</w:t>
            </w:r>
          </w:p>
        </w:tc>
        <w:tc>
          <w:tcPr>
            <w:tcW w:type="dxa" w:w="3286"/>
          </w:tcPr>
          <w:p>
            <w:pPr>
              <w:spacing w:after="40" w:before="40"/>
            </w:pPr>
            <w:r>
              <w:rPr>
                <w:sz w:val="19"/>
              </w:rPr>
              <w:t>Tagihan langganan</w:t>
            </w:r>
          </w:p>
        </w:tc>
      </w:tr>
    </w:tbl>
    <w:p>
      <w:r>
        <w:rPr>
          <w:sz w:val="21"/>
        </w:rPr>
        <w:t xml:space="preserve">Dengan </w:t>
      </w:r>
      <w:r>
        <w:rPr>
          <w:rFonts w:ascii="Consolas" w:hAnsi="Consolas"/>
          <w:color w:val="3730A3"/>
          <w:sz w:val="21"/>
        </w:rPr>
        <w:t>for-user-id</w:t>
      </w:r>
      <w:r>
        <w:rPr>
          <w:sz w:val="21"/>
        </w:rPr>
        <w:t xml:space="preserve"> terpasang di jalur langganan, resto membayar tagihannya ke rekeningnya sendiri. Tagihannya tetap lunas, kuncinya tetap terbuka, dan uangnya tidak pernah sampai. Yang menemukannya adalah rekonsiliasi bank, berbulan-bulan kemudian.</w:t>
      </w:r>
    </w:p>
    <w:p>
      <w:r>
        <w:rPr>
          <w:sz w:val="21"/>
        </w:rPr>
        <w:t>Ada tes yang menjaga ini (</w:t>
      </w:r>
      <w:r>
        <w:rPr>
          <w:rFonts w:ascii="Consolas" w:hAnsi="Consolas"/>
          <w:color w:val="3730A3"/>
          <w:sz w:val="21"/>
        </w:rPr>
        <w:t>billing_test.dart</w:t>
      </w:r>
      <w:r>
        <w:rPr>
          <w:sz w:val="21"/>
        </w:rPr>
        <w:t>), dan tes itu membaca berkas fungsi edge-nya langsung.</w:t>
      </w:r>
    </w:p>
    <w:p>
      <w:pPr>
        <w:pStyle w:val="Heading2"/>
      </w:pPr>
      <w:r>
        <w:t>Dua sifat VA yang menentukan</w:t>
      </w:r>
    </w:p>
    <w:p>
      <w:r>
        <w:rPr>
          <w:b/>
          <w:sz w:val="21"/>
        </w:rPr>
        <w:t>`is_closed` + `expected_amount`</w:t>
      </w:r>
      <w:r>
        <w:rPr>
          <w:sz w:val="21"/>
        </w:rPr>
        <w:t xml:space="preserve"> — hanya nominal persis yang diterima. Tanpa itu, transfer kurang seribu rupiah tetap masuk dan tagihannya tidak lunas: uangnya ada di rekening kita, restonya tetap terkunci, dan tidak ada yang tahu kenapa.</w:t>
      </w:r>
    </w:p>
    <w:p>
      <w:r>
        <w:rPr>
          <w:b/>
          <w:sz w:val="21"/>
        </w:rPr>
        <w:t>`is_single_use`</w:t>
      </w:r>
      <w:r>
        <w:rPr>
          <w:sz w:val="21"/>
        </w:rPr>
        <w:t xml:space="preserve"> — nomornya mati begitu terbayar, jadi transfer bulan depan tidak mendarat di tagihan bulan ini.</w:t>
      </w:r>
    </w:p>
    <w:p>
      <w:pPr>
        <w:pStyle w:val="Heading2"/>
      </w:pPr>
      <w:r>
        <w:t>7.4 Pembukuan KaataGo sendiri</w:t>
      </w:r>
    </w:p>
    <w:p>
      <w:r>
        <w:rPr>
          <w:sz w:val="21"/>
        </w:rPr>
        <w:t>Pendapatan langganan harus tercatat di suatu tempat, dan tempat itu bukan buku resto: bagi mereka, biaya langganan adalah pengeluaran mereka sendiri.</w:t>
      </w:r>
    </w:p>
    <w:p>
      <w:r>
        <w:rPr>
          <w:b/>
          <w:sz w:val="21"/>
        </w:rPr>
        <w:t>KaataGo diberi satu barisnya sendiri di tabel `restaurants`</w:t>
      </w:r>
      <w:r>
        <w:rPr>
          <w:sz w:val="21"/>
        </w:rPr>
        <w:t xml:space="preserve">, ditandai </w:t>
      </w:r>
      <w:r>
        <w:rPr>
          <w:rFonts w:ascii="Consolas" w:hAnsi="Consolas"/>
          <w:color w:val="3730A3"/>
          <w:sz w:val="21"/>
        </w:rPr>
        <w:t>is_platform</w:t>
      </w:r>
      <w:r>
        <w:rPr>
          <w:sz w:val="21"/>
        </w:rPr>
        <w:t xml:space="preserve">, dengan id </w:t>
      </w:r>
      <w:r>
        <w:rPr>
          <w:rFonts w:ascii="Consolas" w:hAnsi="Consolas"/>
          <w:color w:val="3730A3"/>
          <w:sz w:val="21"/>
        </w:rPr>
        <w:t>kaatago</w:t>
      </w:r>
      <w:r>
        <w:rPr>
          <w:sz w:val="21"/>
        </w:rPr>
        <w:t>. Seluruh mesin pembukuan yang sudah ada — bagan akun, jurnal, pengeluaran, kas kecil, berikut pemicu dan kebijakannya — bekerja per resto, jadi ia langsung bekerja untuk penyewa ini tanpa satu baris pun disalin.</w:t>
      </w:r>
    </w:p>
    <w:p>
      <w:pPr>
        <w:shd w:val="clear" w:fill="FFF7E6"/>
        <w:pBdr>
          <w:left w:val="single" w:sz="18" w:space="6" w:color="F59E0B"/>
        </w:pBdr>
        <w:spacing w:before="120"/>
        <w:ind w:left="227"/>
      </w:pPr>
      <w:r>
        <w:rPr>
          <w:b/>
          <w:sz w:val="20"/>
        </w:rPr>
        <w:t>Kenapa bukan tabel `platform_*` sendiri.</w:t>
      </w:r>
      <w:r>
        <w:rPr>
          <w:sz w:val="20"/>
        </w:rPr>
        <w:t xml:space="preserve"> Menyalinnya berarti dua salinan aturan yang sama, dan dua salinan akan berpisah: perbaikan yang dipasang di satu sisi tidak pernah ikut ke sisi lain, dan yang menemukannya adalah selisih angka berbulan-bulan kemudian.</w:t>
      </w:r>
    </w:p>
    <w:p>
      <w:r>
        <w:rPr>
          <w:sz w:val="21"/>
        </w:rPr>
        <w:t xml:space="preserve">Harganya satu hal yang harus dijaga terus: </w:t>
      </w:r>
      <w:r>
        <w:rPr>
          <w:b/>
          <w:sz w:val="21"/>
        </w:rPr>
        <w:t>baris itu tidak boleh muncul sebagai pilihan resto di layar mana pun.</w:t>
      </w:r>
      <w:r>
        <w:rPr>
          <w:sz w:val="21"/>
        </w:rPr>
        <w:t xml:space="preserve"> Dua lapis penjagaan: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Lapis</w:t>
            </w:r>
          </w:p>
        </w:tc>
        <w:tc>
          <w:tcPr>
            <w:tcW w:type="dxa" w:w="4929"/>
            <w:shd w:val="clear" w:fill="4F46E5"/>
          </w:tcPr>
          <w:p>
            <w:pPr>
              <w:spacing w:after="40" w:before="40"/>
            </w:pPr>
            <w:r>
              <w:rPr>
                <w:b/>
                <w:color w:val="FFFFFF"/>
                <w:sz w:val="19"/>
              </w:rPr>
              <w:t>Caranya</w:t>
            </w:r>
          </w:p>
        </w:tc>
      </w:tr>
      <w:tr>
        <w:tc>
          <w:tcPr>
            <w:tcW w:type="dxa" w:w="4929"/>
          </w:tcPr>
          <w:p>
            <w:pPr>
              <w:spacing w:after="40" w:before="40"/>
            </w:pPr>
            <w:r>
              <w:rPr>
                <w:rFonts w:ascii="Consolas" w:hAnsi="Consolas"/>
                <w:color w:val="3730A3"/>
                <w:sz w:val="19"/>
              </w:rPr>
              <w:t>active = false</w:t>
            </w:r>
          </w:p>
        </w:tc>
        <w:tc>
          <w:tcPr>
            <w:tcW w:type="dxa" w:w="4929"/>
          </w:tcPr>
          <w:p>
            <w:pPr>
              <w:spacing w:after="40" w:before="40"/>
            </w:pPr>
            <w:r>
              <w:rPr>
                <w:sz w:val="19"/>
              </w:rPr>
              <w:t>Lolos dari tiap saringan yang sudah ada — daftar pelanggan, pemilih resto, pencarian</w:t>
            </w:r>
          </w:p>
        </w:tc>
      </w:tr>
      <w:tr>
        <w:tc>
          <w:tcPr>
            <w:tcW w:type="dxa" w:w="4929"/>
            <w:shd w:val="clear" w:fill="F4F5FB"/>
          </w:tcPr>
          <w:p>
            <w:pPr>
              <w:spacing w:after="40" w:before="40"/>
            </w:pPr>
            <w:r>
              <w:rPr>
                <w:rFonts w:ascii="Consolas" w:hAnsi="Consolas"/>
                <w:color w:val="3730A3"/>
                <w:sz w:val="19"/>
              </w:rPr>
              <w:t>is_platform = false</w:t>
            </w:r>
            <w:r>
              <w:rPr>
                <w:sz w:val="19"/>
              </w:rPr>
              <w:t xml:space="preserve"> di </w:t>
            </w:r>
            <w:r>
              <w:rPr>
                <w:rFonts w:ascii="Consolas" w:hAnsi="Consolas"/>
                <w:color w:val="3730A3"/>
                <w:sz w:val="19"/>
              </w:rPr>
              <w:t>RestaurantRepository.getAll()</w:t>
            </w:r>
          </w:p>
        </w:tc>
        <w:tc>
          <w:tcPr>
            <w:tcW w:type="dxa" w:w="4929"/>
            <w:shd w:val="clear" w:fill="F4F5FB"/>
          </w:tcPr>
          <w:p>
            <w:pPr>
              <w:spacing w:after="40" w:before="40"/>
            </w:pPr>
            <w:r>
              <w:rPr>
                <w:sz w:val="19"/>
              </w:rPr>
              <w:t xml:space="preserve">Disaring di </w:t>
            </w:r>
            <w:r>
              <w:rPr>
                <w:b/>
                <w:sz w:val="19"/>
              </w:rPr>
              <w:t>satu tempat</w:t>
            </w:r>
            <w:r>
              <w:rPr>
                <w:sz w:val="19"/>
              </w:rPr>
              <w:t>, bukan di tiap layar pemanggilnya</w:t>
            </w:r>
          </w:p>
        </w:tc>
      </w:tr>
    </w:tbl>
    <w:p>
      <w:r>
        <w:rPr>
          <w:sz w:val="21"/>
        </w:rPr>
        <w:t>Menyaringnya di repository, bukan di layar, berarti layar baru yang dibuat nanti tidak bisa lupa menyaringnya.</w:t>
      </w:r>
    </w:p>
    <w:p>
      <w:r>
        <w:rPr>
          <w:b/>
          <w:sz w:val="21"/>
        </w:rPr>
        <w:t>Pendapatan dicatat sebesar harga daftar, bukan sesudah potongan.</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r>
          </w:p>
        </w:tc>
        <w:tc>
          <w:tcPr>
            <w:tcW w:type="dxa" w:w="2465"/>
            <w:shd w:val="clear" w:fill="4F46E5"/>
          </w:tcPr>
          <w:p>
            <w:pPr>
              <w:spacing w:after="40" w:before="40"/>
            </w:pPr>
            <w:r>
              <w:rPr>
                <w:b/>
                <w:color w:val="FFFFFF"/>
                <w:sz w:val="19"/>
              </w:rPr>
              <w:t>Kredit Pendapatan</w:t>
            </w:r>
          </w:p>
        </w:tc>
        <w:tc>
          <w:tcPr>
            <w:tcW w:type="dxa" w:w="2465"/>
            <w:shd w:val="clear" w:fill="4F46E5"/>
          </w:tcPr>
          <w:p>
            <w:pPr>
              <w:spacing w:after="40" w:before="40"/>
            </w:pPr>
            <w:r>
              <w:rPr>
                <w:b/>
                <w:color w:val="FFFFFF"/>
                <w:sz w:val="19"/>
              </w:rPr>
              <w:t>Debit Diskon</w:t>
            </w:r>
          </w:p>
        </w:tc>
        <w:tc>
          <w:tcPr>
            <w:tcW w:type="dxa" w:w="2465"/>
            <w:shd w:val="clear" w:fill="4F46E5"/>
          </w:tcPr>
          <w:p>
            <w:pPr>
              <w:spacing w:after="40" w:before="40"/>
            </w:pPr>
            <w:r>
              <w:rPr>
                <w:b/>
                <w:color w:val="FFFFFF"/>
                <w:sz w:val="19"/>
              </w:rPr>
              <w:t>Bersih</w:t>
            </w:r>
          </w:p>
        </w:tc>
      </w:tr>
      <w:tr>
        <w:tc>
          <w:tcPr>
            <w:tcW w:type="dxa" w:w="2465"/>
          </w:tcPr>
          <w:p>
            <w:pPr>
              <w:spacing w:after="40" w:before="40"/>
            </w:pPr>
            <w:r>
              <w:rPr>
                <w:sz w:val="19"/>
              </w:rPr>
              <w:t>Salah</w:t>
            </w:r>
          </w:p>
        </w:tc>
        <w:tc>
          <w:tcPr>
            <w:tcW w:type="dxa" w:w="2465"/>
          </w:tcPr>
          <w:p>
            <w:pPr>
              <w:spacing w:after="40" w:before="40"/>
            </w:pPr>
            <w:r>
              <w:rPr>
                <w:sz w:val="19"/>
              </w:rPr>
              <w:t>115.000 (sudah dipotong)</w:t>
            </w:r>
          </w:p>
        </w:tc>
        <w:tc>
          <w:tcPr>
            <w:tcW w:type="dxa" w:w="2465"/>
          </w:tcPr>
          <w:p>
            <w:pPr>
              <w:spacing w:after="40" w:before="40"/>
            </w:pPr>
            <w:r>
              <w:rPr>
                <w:sz w:val="19"/>
              </w:rPr>
              <w:t>115.000</w:t>
            </w:r>
          </w:p>
        </w:tc>
        <w:tc>
          <w:tcPr>
            <w:tcW w:type="dxa" w:w="2465"/>
          </w:tcPr>
          <w:p>
            <w:pPr>
              <w:spacing w:after="40" w:before="40"/>
            </w:pPr>
            <w:r>
              <w:rPr>
                <w:b/>
                <w:sz w:val="19"/>
              </w:rPr>
              <w:t>0</w:t>
            </w:r>
          </w:p>
        </w:tc>
      </w:tr>
      <w:tr>
        <w:tc>
          <w:tcPr>
            <w:tcW w:type="dxa" w:w="2465"/>
            <w:shd w:val="clear" w:fill="F4F5FB"/>
          </w:tcPr>
          <w:p>
            <w:pPr>
              <w:spacing w:after="40" w:before="40"/>
            </w:pPr>
            <w:r>
              <w:rPr>
                <w:sz w:val="19"/>
              </w:rPr>
              <w:t>Benar</w:t>
            </w:r>
          </w:p>
        </w:tc>
        <w:tc>
          <w:tcPr>
            <w:tcW w:type="dxa" w:w="2465"/>
            <w:shd w:val="clear" w:fill="F4F5FB"/>
          </w:tcPr>
          <w:p>
            <w:pPr>
              <w:spacing w:after="40" w:before="40"/>
            </w:pPr>
            <w:r>
              <w:rPr>
                <w:sz w:val="19"/>
              </w:rPr>
              <w:t>230.000 (harga daftar)</w:t>
            </w:r>
          </w:p>
        </w:tc>
        <w:tc>
          <w:tcPr>
            <w:tcW w:type="dxa" w:w="2465"/>
            <w:shd w:val="clear" w:fill="F4F5FB"/>
          </w:tcPr>
          <w:p>
            <w:pPr>
              <w:spacing w:after="40" w:before="40"/>
            </w:pPr>
            <w:r>
              <w:rPr>
                <w:sz w:val="19"/>
              </w:rPr>
              <w:t>115.000</w:t>
            </w:r>
          </w:p>
        </w:tc>
        <w:tc>
          <w:tcPr>
            <w:tcW w:type="dxa" w:w="2465"/>
            <w:shd w:val="clear" w:fill="F4F5FB"/>
          </w:tcPr>
          <w:p>
            <w:pPr>
              <w:spacing w:after="40" w:before="40"/>
            </w:pPr>
            <w:r>
              <w:rPr>
                <w:b/>
                <w:sz w:val="19"/>
              </w:rPr>
              <w:t>115.000</w:t>
            </w:r>
          </w:p>
        </w:tc>
      </w:tr>
    </w:tbl>
    <w:p>
      <w:r>
        <w:rPr>
          <w:sz w:val="21"/>
        </w:rPr>
        <w:t>Mengkredit nominal yang sudah dipotong lalu mendebit diskonnya menghitung potongan itu dua kali. Selain angka bersihnya salah, cara yang benar memberi dua angka yang bisa dibaca terpisah: berapa harga daftar yang kita jual, dan berapa yang kita berikan sebagai potongan. Pertanyaan "berapa besar diskon kita tahun ini" jadi punya jawabannya sendiri, bukan angka yang harus dikira-kira dari selisih.</w:t>
      </w:r>
    </w:p>
    <w:p>
      <w:r>
        <w:rPr>
          <w:b/>
          <w:sz w:val="21"/>
        </w:rPr>
        <w:t>Nomor akunnya 11xxxxx</w:t>
      </w:r>
      <w:r>
        <w:rPr>
          <w:sz w:val="21"/>
        </w:rPr>
        <w:t>, berbeda golongan dari 19xxxxx milik resto. Selisih itu membuat satu baris jurnal bisa dikenali pemiliknya hanya dari nomornya, tanpa menelusuri restonya lebih dulu.</w:t>
      </w:r>
    </w:p>
    <w:p>
      <w:r>
        <w:rPr>
          <w:sz w:val="21"/>
        </w:rPr>
        <w:t xml:space="preserve">Akses Super Admin ditambahkan sebagai kebijakan </w:t>
      </w:r>
      <w:r>
        <w:rPr>
          <w:b/>
          <w:sz w:val="21"/>
        </w:rPr>
        <w:t>baru</w:t>
      </w:r>
      <w:r>
        <w:rPr>
          <w:sz w:val="21"/>
        </w:rPr>
        <w:t xml:space="preserve"> di tiap tabel keuangan, bukan dengan menulis ulang yang sudah ada — kebijakan permissive digabung dengan OR, jadi menambah satu sudah cukup, sementara menulis ulang berarti menyalin ulang syaratnya, yang suatu hari akan tersalin tidak lengkap.</w:t>
      </w:r>
    </w:p>
    <w:p>
      <w:r>
        <w:rPr>
          <w:sz w:val="21"/>
        </w:rPr>
        <w:t xml:space="preserve">Untuk </w:t>
      </w:r>
      <w:r>
        <w:rPr>
          <w:rFonts w:ascii="Consolas" w:hAnsi="Consolas"/>
          <w:color w:val="3730A3"/>
          <w:sz w:val="21"/>
        </w:rPr>
        <w:t>gl_journal_entries</w:t>
      </w:r>
      <w:r>
        <w:rPr>
          <w:sz w:val="21"/>
        </w:rPr>
        <w:t xml:space="preserve">, yang ditambahkan </w:t>
      </w:r>
      <w:r>
        <w:rPr>
          <w:b/>
          <w:sz w:val="21"/>
        </w:rPr>
        <w:t>hanya `select`</w:t>
      </w:r>
      <w:r>
        <w:rPr>
          <w:sz w:val="21"/>
        </w:rPr>
        <w:t>.</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11.2 Mengubah tipe kembalian fungsi butuh DROP lebih dulu</w:t>
      </w:r>
    </w:p>
    <w:p>
      <w:r>
        <w:rPr>
          <w:rFonts w:ascii="Consolas" w:hAnsi="Consolas"/>
          <w:color w:val="3730A3"/>
          <w:sz w:val="21"/>
        </w:rPr>
        <w:t>create or replace function</w:t>
      </w:r>
      <w:r>
        <w:rPr>
          <w:sz w:val="21"/>
        </w:rPr>
        <w:t xml:space="preserve"> bisa mengubah isi fungsi, tapi </w:t>
      </w:r>
      <w:r>
        <w:rPr>
          <w:b/>
          <w:sz w:val="21"/>
        </w:rPr>
        <w:t>tidak bisa mengubah tipe kembaliannya</w:t>
      </w:r>
      <w:r>
        <w:rPr>
          <w:sz w:val="21"/>
        </w:rPr>
        <w:t>:</w:t>
      </w:r>
    </w:p>
    <w:p>
      <w:pPr>
        <w:shd w:val="clear" w:fill="F2F3F8"/>
        <w:spacing w:before="80"/>
        <w:ind w:left="283"/>
      </w:pPr>
      <w:r>
        <w:rPr>
          <w:rFonts w:ascii="Consolas" w:hAnsi="Consolas"/>
          <w:color w:val="3730A3"/>
          <w:sz w:val="19"/>
        </w:rPr>
        <w:t>ERROR: cannot change return type of existing function</w:t>
        <w:br/>
        <w:t>HINT:  Use DROP FUNCTION ... first.</w:t>
      </w:r>
    </w:p>
    <w:p>
      <w:r>
        <w:rPr>
          <w:sz w:val="21"/>
        </w:rPr>
        <w:t xml:space="preserve">Yang membuatnya mudah terlewat: galat ini </w:t>
      </w:r>
      <w:r>
        <w:rPr>
          <w:b/>
          <w:sz w:val="21"/>
        </w:rPr>
        <w:t>tidak pernah muncul di database kosong</w:t>
      </w:r>
      <w:r>
        <w:rPr>
          <w:sz w:val="21"/>
        </w:rPr>
        <w:t>, tempat berkas SQL biasanya diuji. Ia hanya muncul di database yang sudah pernah menjalankan versi lamanya — yaitu produksi.</w:t>
      </w:r>
    </w:p>
    <w:p>
      <w:r>
        <w:rPr>
          <w:sz w:val="21"/>
        </w:rPr>
        <w:t xml:space="preserve">Karena itu tiap fungsi yang tipe kembaliannya pernah berubah didahului </w:t>
      </w:r>
      <w:r>
        <w:rPr>
          <w:rFonts w:ascii="Consolas" w:hAnsi="Consolas"/>
          <w:color w:val="3730A3"/>
          <w:sz w:val="21"/>
        </w:rPr>
        <w:t>drop function if exists</w:t>
      </w:r>
      <w:r>
        <w:rPr>
          <w:sz w:val="21"/>
        </w:rPr>
        <w:t xml:space="preserve"> berikut </w:t>
      </w:r>
      <w:r>
        <w:rPr>
          <w:b/>
          <w:sz w:val="21"/>
        </w:rPr>
        <w:t>tanda tangan lengkapnya</w:t>
      </w:r>
      <w:r>
        <w:rPr>
          <w:sz w:val="21"/>
        </w:rPr>
        <w:t>, supaya yang dibuang persis fungsi itu dan bukan fungsi bernama sama dengan argumen berbeda:</w:t>
      </w:r>
    </w:p>
    <w:p>
      <w:pPr>
        <w:shd w:val="clear" w:fill="F2F3F8"/>
        <w:spacing w:before="80"/>
        <w:ind w:left="283"/>
      </w:pPr>
      <w:r>
        <w:rPr>
          <w:rFonts w:ascii="Consolas" w:hAnsi="Consolas"/>
          <w:color w:val="3730A3"/>
          <w:sz w:val="19"/>
        </w:rPr>
        <w:t>drop function if exists settle_billing_va(text, bigint, text);</w:t>
      </w:r>
    </w:p>
    <w:p>
      <w:pPr>
        <w:pStyle w:val="Heading2"/>
      </w:pPr>
      <w:r>
        <w:t>11.3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Unduhan besar</w:t>
            </w:r>
          </w:p>
        </w:tc>
        <w:tc>
          <w:tcPr>
            <w:tcW w:type="dxa" w:w="3286"/>
            <w:shd w:val="clear" w:fill="F4F5FB"/>
          </w:tcPr>
          <w:p>
            <w:pPr>
              <w:spacing w:after="40" w:before="40"/>
            </w:pPr>
            <w:r>
              <w:rPr>
                <w:sz w:val="19"/>
              </w:rPr>
              <w:t>Bisa terhenti</w:t>
            </w:r>
          </w:p>
        </w:tc>
        <w:tc>
          <w:tcPr>
            <w:tcW w:type="dxa" w:w="3286"/>
            <w:shd w:val="clear" w:fill="F4F5FB"/>
          </w:tcPr>
          <w:p>
            <w:pPr>
              <w:spacing w:after="40" w:before="40"/>
            </w:pPr>
            <w:r>
              <w:rPr>
                <w:sz w:val="19"/>
              </w:rPr>
              <w:t>Kalau sistem kehabisan memori saat aplikasi di latar</w:t>
            </w:r>
          </w:p>
        </w:tc>
      </w:tr>
    </w:tbl>
    <w:p>
      <w:r>
        <w:rPr>
          <w:i/>
          <w:sz w:val="21"/>
        </w:rPr>
        <w:t>Dokumen ini disusun dari kode aplikasi versi 1.46.1.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v1.46.1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