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1.46.3 (build 96)</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r>
        <w:tc>
          <w:tcPr>
            <w:tcW w:type="dxa" w:w="4929"/>
          </w:tcPr>
          <w:p>
            <w:pPr>
              <w:spacing w:after="40" w:before="40"/>
            </w:pPr>
            <w:r>
              <w:rPr>
                <w:sz w:val="19"/>
              </w:rPr>
              <w:t>F-TM-05</w:t>
            </w:r>
          </w:p>
        </w:tc>
        <w:tc>
          <w:tcPr>
            <w:tcW w:type="dxa" w:w="4929"/>
          </w:tcPr>
          <w:p>
            <w:pPr>
              <w:spacing w:after="40" w:before="40"/>
            </w:pPr>
            <w:r>
              <w:rPr>
                <w:sz w:val="19"/>
              </w:rPr>
              <w:t xml:space="preserve">Menu tiap peran </w:t>
            </w:r>
            <w:r>
              <w:rPr>
                <w:b/>
                <w:sz w:val="19"/>
              </w:rPr>
              <w:t>dikelompokkan per fungsi</w:t>
            </w:r>
            <w:r>
              <w:rPr>
                <w:sz w:val="19"/>
              </w:rPr>
              <w:t xml:space="preserve"> berikut judul kelompoknya</w:t>
            </w:r>
          </w:p>
        </w:tc>
      </w:tr>
      <w:tr>
        <w:tc>
          <w:tcPr>
            <w:tcW w:type="dxa" w:w="4929"/>
            <w:shd w:val="clear" w:fill="F4F5FB"/>
          </w:tcPr>
          <w:p>
            <w:pPr>
              <w:spacing w:after="40" w:before="40"/>
            </w:pPr>
            <w:r>
              <w:rPr>
                <w:sz w:val="19"/>
              </w:rPr>
              <w:t>F-TM-06</w:t>
            </w:r>
          </w:p>
        </w:tc>
        <w:tc>
          <w:tcPr>
            <w:tcW w:type="dxa" w:w="4929"/>
            <w:shd w:val="clear" w:fill="F4F5FB"/>
          </w:tcPr>
          <w:p>
            <w:pPr>
              <w:spacing w:after="40" w:before="40"/>
            </w:pPr>
            <w:r>
              <w:rPr>
                <w:sz w:val="19"/>
              </w:rPr>
              <w:t>Judul kelompok tetap selebar layar saat menunya tersusun banyak kolom</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 klien</w:t>
            </w:r>
            <w:r>
              <w:rPr>
                <w:sz w:val="19"/>
              </w:rPr>
              <w:t>, dengan saringan per resto</w:t>
            </w:r>
          </w:p>
        </w:tc>
      </w:tr>
      <w:tr>
        <w:tc>
          <w:tcPr>
            <w:tcW w:type="dxa" w:w="4929"/>
          </w:tcPr>
          <w:p>
            <w:pPr>
              <w:spacing w:after="40" w:before="40"/>
            </w:pPr>
            <w:r>
              <w:rPr>
                <w:sz w:val="19"/>
              </w:rPr>
              <w:t>F-PF-21</w:t>
            </w:r>
          </w:p>
        </w:tc>
        <w:tc>
          <w:tcPr>
            <w:tcW w:type="dxa" w:w="4929"/>
          </w:tcPr>
          <w:p>
            <w:pPr>
              <w:spacing w:after="40" w:before="40"/>
            </w:pPr>
            <w:r>
              <w:rPr>
                <w:sz w:val="19"/>
              </w:rPr>
              <w:t xml:space="preserve">Pembukuan KaataGo </w:t>
            </w:r>
            <w:r>
              <w:rPr>
                <w:b/>
                <w:sz w:val="19"/>
              </w:rPr>
              <w:t>tidak ikut</w:t>
            </w:r>
            <w:r>
              <w:rPr>
                <w:sz w:val="19"/>
              </w:rPr>
              <w:t xml:space="preserve"> di layar itu — ia punya Jurnal GL KaataGo sendiri</w:t>
            </w:r>
          </w:p>
        </w:tc>
      </w:tr>
      <w:tr>
        <w:tc>
          <w:tcPr>
            <w:tcW w:type="dxa" w:w="4929"/>
            <w:shd w:val="clear" w:fill="F4F5FB"/>
          </w:tcPr>
          <w:p>
            <w:pPr>
              <w:spacing w:after="40" w:before="40"/>
            </w:pPr>
            <w:r>
              <w:rPr>
                <w:sz w:val="19"/>
              </w:rPr>
              <w:t>F-PF-12</w:t>
            </w:r>
          </w:p>
        </w:tc>
        <w:tc>
          <w:tcPr>
            <w:tcW w:type="dxa" w:w="4929"/>
            <w:shd w:val="clear" w:fill="F4F5FB"/>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tcPr>
          <w:p>
            <w:pPr>
              <w:spacing w:after="40" w:before="40"/>
            </w:pPr>
            <w:r>
              <w:rPr>
                <w:sz w:val="19"/>
              </w:rPr>
              <w:t>F-PF-14</w:t>
            </w:r>
          </w:p>
        </w:tc>
        <w:tc>
          <w:tcPr>
            <w:tcW w:type="dxa" w:w="4929"/>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shd w:val="clear" w:fill="F4F5FB"/>
          </w:tcPr>
          <w:p>
            <w:pPr>
              <w:spacing w:after="40" w:before="40"/>
            </w:pPr>
            <w:r>
              <w:rPr>
                <w:sz w:val="19"/>
              </w:rPr>
              <w:t>F-PF-15</w:t>
            </w:r>
          </w:p>
        </w:tc>
        <w:tc>
          <w:tcPr>
            <w:tcW w:type="dxa" w:w="4929"/>
            <w:shd w:val="clear" w:fill="F4F5FB"/>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tcPr>
          <w:p>
            <w:pPr>
              <w:spacing w:after="40" w:before="40"/>
            </w:pPr>
            <w:r>
              <w:rPr>
                <w:sz w:val="19"/>
              </w:rPr>
              <w:t>F-PF-16</w:t>
            </w:r>
          </w:p>
        </w:tc>
        <w:tc>
          <w:tcPr>
            <w:tcW w:type="dxa" w:w="4929"/>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shd w:val="clear" w:fill="F4F5FB"/>
          </w:tcPr>
          <w:p>
            <w:pPr>
              <w:spacing w:after="40" w:before="40"/>
            </w:pPr>
            <w:r>
              <w:rPr>
                <w:sz w:val="19"/>
              </w:rPr>
              <w:t>F-PF-17</w:t>
            </w:r>
          </w:p>
        </w:tc>
        <w:tc>
          <w:tcPr>
            <w:tcW w:type="dxa" w:w="4929"/>
            <w:shd w:val="clear" w:fill="F4F5FB"/>
          </w:tcPr>
          <w:p>
            <w:pPr>
              <w:spacing w:after="40" w:before="40"/>
            </w:pPr>
            <w:r>
              <w:rPr>
                <w:sz w:val="19"/>
              </w:rPr>
              <w:t>Resto yang belum punya jurnal disebut apa adanya di daftar saringan</w:t>
            </w:r>
          </w:p>
        </w:tc>
      </w:tr>
      <w:tr>
        <w:tc>
          <w:tcPr>
            <w:tcW w:type="dxa" w:w="4929"/>
          </w:tcPr>
          <w:p>
            <w:pPr>
              <w:spacing w:after="40" w:before="40"/>
            </w:pPr>
            <w:r>
              <w:rPr>
                <w:sz w:val="19"/>
              </w:rPr>
              <w:t>F-PF-18</w:t>
            </w:r>
          </w:p>
        </w:tc>
        <w:tc>
          <w:tcPr>
            <w:tcW w:type="dxa" w:w="4929"/>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shd w:val="clear" w:fill="F4F5FB"/>
          </w:tcPr>
          <w:p>
            <w:pPr>
              <w:spacing w:after="40" w:before="40"/>
            </w:pPr>
            <w:r>
              <w:rPr>
                <w:sz w:val="19"/>
              </w:rPr>
              <w:t>F-PF-19</w:t>
            </w:r>
          </w:p>
        </w:tc>
        <w:tc>
          <w:tcPr>
            <w:tcW w:type="dxa" w:w="4929"/>
            <w:shd w:val="clear" w:fill="F4F5FB"/>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tcPr>
          <w:p>
            <w:pPr>
              <w:spacing w:after="40" w:before="40"/>
            </w:pPr>
            <w:r>
              <w:rPr>
                <w:sz w:val="19"/>
              </w:rPr>
              <w:t>F-PF-20</w:t>
            </w:r>
          </w:p>
        </w:tc>
        <w:tc>
          <w:tcPr>
            <w:tcW w:type="dxa" w:w="4929"/>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1.46.3.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