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ТЕХНІЧНИЙ  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"КИЇВСЬКИЙ ПОЛІТЕХНІЧНИЙ ІНСТИТУТ ІМЕНІ ІГОРЯ СІКОРСЬКОГО"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комп'ютерних систем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№1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із дисципліни «Бази даних»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«Проектування бази даних та ознайомлення з базовими операціями. СУБД PostgreSQL»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2 курсу</w:t>
            </w:r>
          </w:p>
          <w:p>
            <w:pPr>
              <w:pStyle w:val="Normal"/>
              <w:widowControl w:val="false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Фенченко Ігор Юрійович</w:t>
            </w:r>
          </w:p>
          <w:p>
            <w:pPr>
              <w:pStyle w:val="Normal"/>
              <w:widowControl w:val="false"/>
              <w:spacing w:lineRule="auto" w:line="240" w:before="12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к. т. н. доцент</w:t>
            </w:r>
          </w:p>
          <w:p>
            <w:pPr>
              <w:pStyle w:val="Normal"/>
              <w:widowControl w:val="false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Петрашенко Андрій Васильович</w:t>
              <w:tab/>
            </w:r>
          </w:p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  <w:r>
        <w:br w:type="page"/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здобуття вмінь проектування бази даних та практичних навичок створення реляційних баз даних за допомогою PostgreSQL.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Normal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>
      <w:pPr>
        <w:pStyle w:val="Normal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Перетворити розроблену модель у схему бази даних (таблиці) PostgreSQL.</w:t>
      </w:r>
    </w:p>
    <w:p>
      <w:pPr>
        <w:pStyle w:val="Normal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Вимоги до ER-моделі</w:t>
      </w:r>
    </w:p>
    <w:p>
      <w:pPr>
        <w:pStyle w:val="Normal"/>
        <w:numPr>
          <w:ilvl w:val="0"/>
          <w:numId w:val="5"/>
        </w:numPr>
        <w:spacing w:lineRule="auto" w:line="276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gjdgxs1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Сутності моделі предметної галузі мають містити зв’язки типу 1:N або N:M.</w:t>
      </w:r>
    </w:p>
    <w:p>
      <w:pPr>
        <w:pStyle w:val="Normal"/>
        <w:numPr>
          <w:ilvl w:val="0"/>
          <w:numId w:val="5"/>
        </w:numPr>
        <w:spacing w:lineRule="auto" w:line="276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сутностей у моделі – 3-4. Кількість атрибутів у кожній сутності: від двох до п’яти.</w:t>
      </w:r>
    </w:p>
    <w:p>
      <w:pPr>
        <w:pStyle w:val="Normal"/>
        <w:numPr>
          <w:ilvl w:val="0"/>
          <w:numId w:val="5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Передбачити наявність зв’язку з атрибутом.</w:t>
      </w:r>
    </w:p>
    <w:p>
      <w:pPr>
        <w:pStyle w:val="Normal"/>
        <w:numPr>
          <w:ilvl w:val="0"/>
          <w:numId w:val="5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побудови ER-діаграм використовувати одну із нотацій: Чена, “Пташиної лапки (Crow’s foot)”, UML.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1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Назва нотації: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“Пташиної лапки”.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Графічний файл розробленої моделі: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263900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Предметна галузь (Варіант):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Спортивний зал.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Сутності:</w:t>
      </w:r>
    </w:p>
    <w:p>
      <w:pPr>
        <w:pStyle w:val="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Клієнт (Client)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відвідувач спортивного залу. 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client_id(PK) - унікальний ключ користувача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- ФІО користувача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birthday_date - дата народження користувача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email - електронна адреса користувача</w:t>
      </w:r>
    </w:p>
    <w:p>
      <w:pPr>
        <w:pStyle w:val="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Абонемент (Subscription) - картка користувача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sub_id(PK) - унікальний ключ абонементу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client(FK) - ключ власника абонементу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start_date - початок дії абонементу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finish_date - кінець дії абонементу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type -  вид абонементу, що визначає можливості його власника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cost - вартість абонементу</w:t>
      </w:r>
    </w:p>
    <w:p>
      <w:pPr>
        <w:pStyle w:val="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Секція спортивного залу (Section) - складова будівлі залу(поверх/приміщення/басейн)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sec_id(PK) - унікальний ключ секції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- назва секції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type - специфікація секції спортивного залу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sub_count - максимальна кількість активних абонементів, що мають доступ до даної секції</w:t>
      </w:r>
    </w:p>
    <w:p>
      <w:pPr>
        <w:pStyle w:val="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Інструктори (Instructor) - тренери спортивного залу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ins_id(PK) - унікальний ключ тренера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- ім’я тренера</w:t>
      </w:r>
    </w:p>
    <w:p>
      <w:pPr>
        <w:pStyle w:val="Normal"/>
        <w:numPr>
          <w:ilvl w:val="1"/>
          <w:numId w:val="2"/>
        </w:numPr>
        <w:spacing w:lineRule="auto" w:line="276" w:before="0" w:afterAutospacing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specialization - область роботи тренера</w:t>
      </w:r>
    </w:p>
    <w:p>
      <w:pPr>
        <w:pStyle w:val="Normal"/>
        <w:numPr>
          <w:ilvl w:val="1"/>
          <w:numId w:val="2"/>
        </w:numPr>
        <w:spacing w:lineRule="auto" w:line="276" w:before="0" w:after="20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age - вік тренера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2</w:t>
      </w:r>
    </w:p>
    <w:p>
      <w:pPr>
        <w:pStyle w:val="Normal"/>
        <w:spacing w:lineRule="auto" w:line="276" w:before="0" w:after="20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таблиця без типів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263900"/>
            <wp:effectExtent l="0" t="0" r="0" b="0"/>
            <wp:docPr id="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501900"/>
            <wp:effectExtent l="0" t="0" r="0" b="0"/>
            <wp:docPr id="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Сутність Client було перетворено у таблицю Client, а зв’язок Client➝Subscription (1:1) зумовив появу вторинного ключа (client_id) в таблиці Subscription.</w:t>
      </w:r>
    </w:p>
    <w:p>
      <w:pPr>
        <w:pStyle w:val="Normal"/>
        <w:numPr>
          <w:ilvl w:val="0"/>
          <w:numId w:val="6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Сутність Subscription було перетворено у таблицю Subscription, а зв’язок Subscription➝Section (M:N) зумовив появу додаткової таблиці subSecLink, яка містить вторинні ключі sub_id та sec_id.</w:t>
      </w:r>
    </w:p>
    <w:p>
      <w:pPr>
        <w:pStyle w:val="Normal"/>
        <w:numPr>
          <w:ilvl w:val="0"/>
          <w:numId w:val="6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Сутність Section було перетворено у таблицю Section, а зв’язок Section➝Instructor (M:N) зумовив появу додаткової таблиці secInsLink, яка містить вторинні ключі ins_id та sec_id.</w:t>
      </w:r>
    </w:p>
    <w:p>
      <w:pPr>
        <w:pStyle w:val="Normal"/>
        <w:numPr>
          <w:ilvl w:val="0"/>
          <w:numId w:val="6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Сутність Instructor було перетворено у таблицю Instructor, а зв’язок Instructor➝Client (1:M) зумовив появу вторинного ключа (ins_id) в таблиці Client.</w:t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3</w:t>
      </w:r>
    </w:p>
    <w:p>
      <w:pPr>
        <w:pStyle w:val="Normal"/>
        <w:spacing w:lineRule="auto" w:line="276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Відповідність до НФ1: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Кожна таблиця повинна мати основний ключ (PK): мінімальний набір атрибутів, які ідентифікують запис, а кожен атрибут повинен мати лише одне значення, а не множину значень.</w:t>
      </w:r>
    </w:p>
    <w:p>
      <w:pPr>
        <w:pStyle w:val="Normal"/>
        <w:spacing w:lineRule="auto" w:line="276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Розглянемо таблиці Client та Instructor в пункті 2. Опишемо функціональні залежності: </w:t>
      </w:r>
    </w:p>
    <w:p>
      <w:pPr>
        <w:pStyle w:val="Normal"/>
        <w:numPr>
          <w:ilvl w:val="0"/>
          <w:numId w:val="7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ins_id ➝ name, age, specialization (первинний ключ)</w:t>
      </w:r>
    </w:p>
    <w:p>
      <w:pPr>
        <w:pStyle w:val="Normal"/>
        <w:numPr>
          <w:ilvl w:val="0"/>
          <w:numId w:val="7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name, age, specialization ➝ ins_id  (порушень НФ1 немає)</w:t>
      </w:r>
    </w:p>
    <w:p>
      <w:pPr>
        <w:pStyle w:val="Normal"/>
        <w:numPr>
          <w:ilvl w:val="0"/>
          <w:numId w:val="7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 xml:space="preserve">client_id ➝ ins_id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замість </w:t>
      </w:r>
      <w:r>
        <w:rPr>
          <w:rFonts w:eastAsia="Arial Unicode MS" w:cs="Arial Unicode MS" w:ascii="Times New Roman" w:hAnsi="Times New Roman"/>
          <w:sz w:val="28"/>
          <w:szCs w:val="28"/>
        </w:rPr>
        <w:t>масиву client_id в моделі Instructor (ins_id ➝ client_ids)</w:t>
      </w:r>
    </w:p>
    <w:p>
      <w:pPr>
        <w:pStyle w:val="Normal"/>
        <w:spacing w:lineRule="auto" w:line="276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Аналогічно, всі інші таблиці в БД не мають множини значень як певний атрибут та мають первинний ключ, тобто НФ1 виконується.</w:t>
      </w:r>
    </w:p>
    <w:p>
      <w:pPr>
        <w:pStyle w:val="Normal"/>
        <w:spacing w:lineRule="auto" w:line="276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Відповідність до НФ2: </w:t>
      </w:r>
      <w:r>
        <w:rPr>
          <w:rFonts w:eastAsia="Times New Roman" w:cs="Times New Roman" w:ascii="Times New Roman" w:hAnsi="Times New Roman"/>
          <w:sz w:val="28"/>
          <w:szCs w:val="28"/>
        </w:rPr>
        <w:t>Кожна таблиця повинна відповідати вимогам першої нормальної форми та кожен не-первинний атрибут повинен повністю функціонально залежати від первинного ключа.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Розглянемо таблиці Subscription та Client  в пункті 2. Опишемо функціональні залежності: </w:t>
      </w:r>
    </w:p>
    <w:p>
      <w:pPr>
        <w:pStyle w:val="Normal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client_id ➝ name, birthday, email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 xml:space="preserve">sub_id  ➝ start_date, finish_date, type, cost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замість</w:t>
      </w:r>
      <w:r>
        <w:rPr>
          <w:rFonts w:eastAsia="Arial Unicode MS" w:cs="Arial Unicode MS" w:ascii="Times New Roman" w:hAnsi="Times New Roman"/>
          <w:sz w:val="28"/>
          <w:szCs w:val="28"/>
        </w:rPr>
        <w:t xml:space="preserve"> sub_id ➝ name, birthday, email, finish_date, cost… (Щоб уникнути складеного ключа, ми розбиваємо сутності клієнта та абонемента на 2 таблиці та робимо зв’язок через FK, ти самим задовольняючи НФ2)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Відповідність до НФ3: </w:t>
      </w:r>
      <w:r>
        <w:rPr>
          <w:rFonts w:eastAsia="Times New Roman" w:cs="Times New Roman" w:ascii="Times New Roman" w:hAnsi="Times New Roman"/>
          <w:sz w:val="28"/>
          <w:szCs w:val="28"/>
        </w:rPr>
        <w:t>Таблиця повинна бути у другій нормальній формі, а дані в таблиці мають залежати винятково від первинного ключа.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Розглянемо таблиці Section, Instructor та secIncLink в пункті 2. Опишемо функціональні залежності: </w:t>
      </w:r>
    </w:p>
    <w:p>
      <w:pPr>
        <w:pStyle w:val="Normal"/>
        <w:numPr>
          <w:ilvl w:val="0"/>
          <w:numId w:val="8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ins_id ➝ name, age, specialization</w:t>
      </w:r>
    </w:p>
    <w:p>
      <w:pPr>
        <w:pStyle w:val="Normal"/>
        <w:numPr>
          <w:ilvl w:val="0"/>
          <w:numId w:val="8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 xml:space="preserve">sec_id ➝ name, type, sub_count </w:t>
      </w:r>
    </w:p>
    <w:p>
      <w:pPr>
        <w:pStyle w:val="Normal"/>
        <w:numPr>
          <w:ilvl w:val="0"/>
          <w:numId w:val="8"/>
        </w:numPr>
        <w:spacing w:lineRule="auto" w:line="276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>link_id ➝ sec_id, ins_id</w:t>
      </w:r>
    </w:p>
    <w:p>
      <w:pPr>
        <w:pStyle w:val="Normal"/>
        <w:numPr>
          <w:ilvl w:val="0"/>
          <w:numId w:val="8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 Unicode MS" w:cs="Arial Unicode MS" w:ascii="Times New Roman" w:hAnsi="Times New Roman"/>
          <w:sz w:val="28"/>
          <w:szCs w:val="28"/>
        </w:rPr>
        <w:t xml:space="preserve">sec_id, ins_id ➝ link_id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замість </w:t>
      </w:r>
      <w:r>
        <w:rPr>
          <w:rFonts w:eastAsia="Arial Unicode MS" w:cs="Arial Unicode MS" w:ascii="Times New Roman" w:hAnsi="Times New Roman"/>
          <w:sz w:val="28"/>
          <w:szCs w:val="28"/>
        </w:rPr>
        <w:t>ins_id ➝ age, specialization, name, type, sub_count (розбиваємо одну таблицю на 2 та таблицю зв’язків secIncLink, щоб первинний ключ не був складеним)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Отже, для всіх зв’язків M:N ми розробили таблиці зв’язків, щоб виконати умову НФ3. 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4</w:t>
      </w:r>
    </w:p>
    <w:p>
      <w:pPr>
        <w:pStyle w:val="Normal"/>
        <w:numPr>
          <w:ilvl w:val="0"/>
          <w:numId w:val="4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Client</w:t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4483100"/>
            <wp:effectExtent l="0" t="0" r="0" b="0"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0828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1981200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648200" cy="222885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Subscriptions</w:t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50520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195580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006600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391025" cy="2447925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Section</w:t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048000"/>
            <wp:effectExtent l="0" t="0" r="0" b="0"/>
            <wp:docPr id="12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019300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86150" cy="2514600"/>
            <wp:effectExtent l="0" t="0" r="0" b="0"/>
            <wp:docPr id="1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spacing w:lineRule="auto" w:line="276" w:before="0" w:after="20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Instructor</w:t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984500"/>
            <wp:effectExtent l="0" t="0" r="0" b="0"/>
            <wp:docPr id="15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095500"/>
            <wp:effectExtent l="0" t="0" r="0" b="0"/>
            <wp:docPr id="1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895725" cy="2457450"/>
            <wp:effectExtent l="0" t="0" r="0" b="0"/>
            <wp:docPr id="1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0"/>
        </w:numPr>
        <w:spacing w:lineRule="auto" w:line="276" w:before="0" w:after="200"/>
        <w:ind w:left="1440" w:hanging="360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subSecLink</w:t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3022600"/>
            <wp:effectExtent l="0" t="0" r="0" b="0"/>
            <wp:docPr id="18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095500"/>
            <wp:effectExtent l="0" t="0" r="0" b="0"/>
            <wp:docPr id="1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387600"/>
            <wp:effectExtent l="0" t="0" r="0" b="0"/>
            <wp:docPr id="20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381375" cy="2476500"/>
            <wp:effectExtent l="0" t="0" r="0" b="0"/>
            <wp:docPr id="2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0"/>
        </w:numPr>
        <w:spacing w:lineRule="auto" w:line="276" w:before="0" w:after="200"/>
        <w:ind w:left="1440" w:hanging="360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Таблиця secInsLink</w:t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794000"/>
            <wp:effectExtent l="0" t="0" r="0" b="0"/>
            <wp:docPr id="22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159000"/>
            <wp:effectExtent l="0" t="0" r="0" b="0"/>
            <wp:docPr id="2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2374900"/>
            <wp:effectExtent l="0" t="0" r="0" b="0"/>
            <wp:docPr id="24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305175" cy="2447925"/>
            <wp:effectExtent l="0" t="0" r="0" b="0"/>
            <wp:docPr id="2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sz w:val="28"/>
      <w:u w:val="none"/>
    </w:rPr>
  </w:style>
  <w:style w:type="character" w:styleId="ListLabel11">
    <w:name w:val="ListLabel 11"/>
    <w:qFormat/>
    <w:rPr>
      <w:rFonts w:ascii="Times New Roman" w:hAnsi="Times New Roman"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b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14</Pages>
  <Words>711</Words>
  <Characters>4344</Characters>
  <CharactersWithSpaces>4942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2020-09-24T12:32:45Z</dcterms:modified>
  <cp:revision>1</cp:revision>
  <dc:subject/>
  <dc:title/>
</cp:coreProperties>
</file>