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F4DC" w14:textId="77777777" w:rsidR="005D54A5" w:rsidRPr="005D54A5" w:rsidRDefault="005D54A5" w:rsidP="005D54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0"/>
          <w:szCs w:val="30"/>
          <w14:ligatures w14:val="none"/>
        </w:rPr>
        <w:t>项目可行性调研报告（公开摘要版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3D68C8A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项目代号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方向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：针对入境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跨境人员的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物理入口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+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数字生活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一体化便利服务项目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调研阶段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：初步可行性研究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密级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：公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开</w:t>
      </w:r>
    </w:p>
    <w:p w14:paraId="68DA6445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64F038A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45989D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第一章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项目背景与宏观驱动因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素</w:t>
      </w:r>
    </w:p>
    <w:p w14:paraId="11FC87F2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1.1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宏观政策环境高度利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好</w:t>
      </w:r>
    </w:p>
    <w:p w14:paraId="1FF7F847" w14:textId="77777777" w:rsidR="005D54A5" w:rsidRPr="005D54A5" w:rsidRDefault="005D54A5" w:rsidP="005D54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国家战略层面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：近期多项顶层政策文件明确指向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提升外籍人员来华便利度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高水平对外开放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及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服务贸易创新发展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。政策目标已从单纯的经济开放转向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制度型开放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，重点在于规则、规制、管理与国际高标准接轨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06FC7976" w14:textId="77777777" w:rsidR="005D54A5" w:rsidRPr="005D54A5" w:rsidRDefault="005D54A5" w:rsidP="005D54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行业导向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：文旅部、人民银行、移民管理局等多部委密集出台关于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优化支付服务、简化身份核验、提升口岸通关效率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的指导意见。项目方向与当前政策着力点高度吻合，属于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政策鼓励与支持类项目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1ECC6A27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1.2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市场需求恢复与结构变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化</w:t>
      </w:r>
    </w:p>
    <w:p w14:paraId="23111C2F" w14:textId="77777777" w:rsidR="005D54A5" w:rsidRPr="005D54A5" w:rsidRDefault="005D54A5" w:rsidP="005D54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流量恢复趋势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：随着免签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朋友圈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持续扩容（如单方面免签、过境免签时间延长），入境游及短期商务访客数量呈现显著回升态势。客群结构由过去的跟团游为主，转向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自由行、商务散客、数字游民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占比提升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6272EB86" w14:textId="77777777" w:rsidR="005D54A5" w:rsidRPr="005D54A5" w:rsidRDefault="005D54A5" w:rsidP="005D54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消费行为迁移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：入境人员在华消费习惯与本地生态存在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数字鸿沟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。境外人员对无卡支付、线上预约、身份核验的需求已从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“Nice to have”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变为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“Must have”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6DC25336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0E1BFD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FF2F29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第二章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市场痛点与机会识别（普适性分析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）</w:t>
      </w:r>
    </w:p>
    <w:p w14:paraId="22C10AFE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 xml:space="preserve">2.1 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核心痛点量化（定性分析）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通过对公开舆情及行业报道的分析，当前市场存在以下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共性、高频痛点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7285"/>
        <w:gridCol w:w="2634"/>
      </w:tblGrid>
      <w:tr w:rsidR="005D54A5" w:rsidRPr="005D54A5" w14:paraId="0F0AB5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769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痛点维度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0B53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具体表现描述（公开信息可查）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D4206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市场机会点</w:t>
            </w:r>
          </w:p>
        </w:tc>
      </w:tr>
      <w:tr w:rsidR="005D54A5" w:rsidRPr="005D54A5" w14:paraId="0E20C1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3EA79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身份认证壁垒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F5B4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境外证件（护照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回乡证）在部分非涉外场景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、小程序中无法被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OCR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识别或字段校验不通过。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CDABF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统一身份信任锚点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的构建与分发。</w:t>
            </w:r>
          </w:p>
        </w:tc>
      </w:tr>
      <w:tr w:rsidR="005D54A5" w:rsidRPr="005D54A5" w14:paraId="13E28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BAB0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支付链路阻梗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BA66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外卡受理覆盖率、境外电子钱包无法直连境内码牌、找零不便。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A80F8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支付工具层的互联互通适配服务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  <w:tr w:rsidR="005D54A5" w:rsidRPr="005D54A5" w14:paraId="2BD35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7FF71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信息获取碎片化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8F8D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缺乏权威的一站式入境指南，社交媒体攻略存在滞后性。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1E05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官方聚合服务平台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或数字化导览。</w:t>
            </w:r>
          </w:p>
        </w:tc>
      </w:tr>
      <w:tr w:rsidR="005D54A5" w:rsidRPr="005D54A5" w14:paraId="4C3E3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EE154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网络接入障碍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4D92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国际漫游资费高、部分境外运营商网络兼容性差（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VoLTE/5G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频段）。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7D61F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落地第一时间的通信保障服务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</w:tbl>
    <w:p w14:paraId="098FED92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2.2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竞品与市场空白分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析</w:t>
      </w:r>
    </w:p>
    <w:p w14:paraId="7199B3A8" w14:textId="77777777" w:rsidR="005D54A5" w:rsidRPr="005D54A5" w:rsidRDefault="005D54A5" w:rsidP="005D54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现有解决方案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：以境内通用超级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APP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国际版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为主。其优点是覆盖广，但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局限性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在于多为单点功能改进，缺乏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跨场景、跨平台的底层打通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308E2806" w14:textId="77777777" w:rsidR="005D54A5" w:rsidRPr="005D54A5" w:rsidRDefault="005D54A5" w:rsidP="005D54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空白地带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官方合规身份凭证的轻量化应用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与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境外常用工具与境内生活场景的无缝转接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之间，存在尚未被完全满足的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中间层服务空间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58A2288C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3E4431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FA6FCE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第三章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项目初步构想与实施逻辑（非技术细节版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）</w:t>
      </w:r>
    </w:p>
    <w:p w14:paraId="25A00FB9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3.1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项目定位（一句话阐述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）</w:t>
      </w:r>
    </w:p>
    <w:p w14:paraId="0887F68A" w14:textId="77777777" w:rsidR="005D54A5" w:rsidRPr="005D54A5" w:rsidRDefault="005D54A5" w:rsidP="005D54A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该项目定位为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面向境外来华人员的数字化公共便利接口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，旨在通过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规则适配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而非颠覆现有生态的方式，降低境外人员在华使用各类数字化服务的门槛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6309C6CD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 xml:space="preserve">3.2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核心实施逻辑（公开逻辑链）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本项目的可行性建立在以下三个逻辑支点上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14:paraId="091C88EF" w14:textId="77777777" w:rsidR="005D54A5" w:rsidRPr="005D54A5" w:rsidRDefault="005D54A5" w:rsidP="005D54A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身份互认逻辑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：依托现有出入境管理大数据平台，为第三方商业应用提供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合规、脱敏、标准化的身份核验结果通知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（明确不触碰原始数据），解决中小商户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不敢认、不会认护照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的问题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26BDDFDD" w14:textId="77777777" w:rsidR="005D54A5" w:rsidRPr="005D54A5" w:rsidRDefault="005D54A5" w:rsidP="005D54A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支付路由逻辑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：在不改变境内收单清算格局的前提下，做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受理侧的聚合优化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，让境内商户的既有码牌能够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原生兼容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境外主流钱包扫码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5D41ED1C" w14:textId="77777777" w:rsidR="005D54A5" w:rsidRPr="005D54A5" w:rsidRDefault="005D54A5" w:rsidP="005D54A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服务聚合逻辑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：整合已有公共服务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，以轻量化载体（如小程序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/H5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）输出高德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地图、翻译、投诉反馈等刚需功能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4532447B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5136F4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79FF72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第四章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技术可行性基础分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析</w:t>
      </w:r>
    </w:p>
    <w:p w14:paraId="47498D4F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4.1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技术成熟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度</w:t>
      </w:r>
    </w:p>
    <w:p w14:paraId="6BBEE1D1" w14:textId="77777777" w:rsidR="005D54A5" w:rsidRPr="005D54A5" w:rsidRDefault="005D54A5" w:rsidP="005D54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项目所涉及的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OCR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识别、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网关路由、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H5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跨端开发、大数据脱敏审计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等技术，均为目前互联网及金融科技领域的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成熟通用技术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不存在短期内难以攻克的技术瓶颈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14EA1221" w14:textId="77777777" w:rsidR="005D54A5" w:rsidRPr="005D54A5" w:rsidRDefault="005D54A5" w:rsidP="005D54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技术难点主要集中在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高并发下的身份校验时延控制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及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跨境网络节点的稳定接入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，属于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工程优化问题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，非原理性障碍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72C6318F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4.2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数据安全与合规架构（重点公开承诺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）</w:t>
      </w:r>
    </w:p>
    <w:p w14:paraId="38683648" w14:textId="77777777" w:rsidR="005D54A5" w:rsidRPr="005D54A5" w:rsidRDefault="005D54A5" w:rsidP="005D54A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项目将严格遵循相关法律法规，设计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最小必要原则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的数据采集方案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10F74140" w14:textId="77777777" w:rsidR="005D54A5" w:rsidRPr="005D54A5" w:rsidRDefault="005D54A5" w:rsidP="005D54A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采用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数据可用不可见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的隐私计算或核验接口模式，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不沉淀、不存储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境外人员的敏感个人生物信息及行踪轨迹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788EE699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3FC68B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317E2F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第五章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商业模式与盈利路径分析（含手机租赁与推流分润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）</w:t>
      </w:r>
    </w:p>
    <w:p w14:paraId="0EC29BA2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i/>
          <w:iCs/>
          <w:color w:val="0F1115"/>
          <w:kern w:val="0"/>
          <w14:ligatures w14:val="none"/>
        </w:rPr>
        <w:lastRenderedPageBreak/>
        <w:t>本章节重点阐述项目如何构建</w:t>
      </w:r>
      <w:r w:rsidRPr="005D54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i/>
          <w:iCs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b/>
          <w:bCs/>
          <w:i/>
          <w:iCs/>
          <w:color w:val="0F1115"/>
          <w:kern w:val="0"/>
          <w14:ligatures w14:val="none"/>
        </w:rPr>
        <w:t>硬件入口</w:t>
      </w:r>
      <w:r w:rsidRPr="005D54A5">
        <w:rPr>
          <w:rFonts w:ascii="Segoe UI" w:eastAsia="Times New Roman" w:hAnsi="Segoe UI" w:cs="Segoe UI"/>
          <w:b/>
          <w:bCs/>
          <w:i/>
          <w:iCs/>
          <w:color w:val="0F1115"/>
          <w:kern w:val="0"/>
          <w14:ligatures w14:val="none"/>
        </w:rPr>
        <w:t>+</w:t>
      </w:r>
      <w:r w:rsidRPr="005D54A5">
        <w:rPr>
          <w:rFonts w:ascii="Microsoft YaHei" w:eastAsia="Microsoft YaHei" w:hAnsi="Microsoft YaHei" w:cs="Microsoft YaHei" w:hint="eastAsia"/>
          <w:b/>
          <w:bCs/>
          <w:i/>
          <w:iCs/>
          <w:color w:val="0F1115"/>
          <w:kern w:val="0"/>
          <w14:ligatures w14:val="none"/>
        </w:rPr>
        <w:t>流量变现</w:t>
      </w:r>
      <w:r w:rsidRPr="005D54A5">
        <w:rPr>
          <w:rFonts w:ascii="Segoe UI" w:eastAsia="Times New Roman" w:hAnsi="Segoe UI" w:cs="Segoe UI"/>
          <w:b/>
          <w:bCs/>
          <w:i/>
          <w:iCs/>
          <w:color w:val="0F1115"/>
          <w:kern w:val="0"/>
          <w14:ligatures w14:val="none"/>
        </w:rPr>
        <w:t>”</w:t>
      </w:r>
      <w:r w:rsidRPr="005D54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</w:t>
      </w:r>
      <w:r w:rsidRPr="005D54A5">
        <w:rPr>
          <w:rFonts w:ascii="Microsoft YaHei" w:eastAsia="Microsoft YaHei" w:hAnsi="Microsoft YaHei" w:cs="Microsoft YaHei" w:hint="eastAsia"/>
          <w:i/>
          <w:iCs/>
          <w:color w:val="0F1115"/>
          <w:kern w:val="0"/>
          <w14:ligatures w14:val="none"/>
        </w:rPr>
        <w:t>的商业闭环，确保项目具备自我造血能力</w:t>
      </w:r>
      <w:r w:rsidRPr="005D54A5">
        <w:rPr>
          <w:rFonts w:ascii="Microsoft YaHei" w:eastAsia="Microsoft YaHei" w:hAnsi="Microsoft YaHei" w:cs="Microsoft YaHei"/>
          <w:i/>
          <w:iCs/>
          <w:color w:val="0F1115"/>
          <w:kern w:val="0"/>
          <w14:ligatures w14:val="none"/>
        </w:rPr>
        <w:t>。</w:t>
      </w:r>
    </w:p>
    <w:p w14:paraId="5AD93F10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5.1 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模块一：入境通信保障与智能终端租赁（物理入口）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0186"/>
      </w:tblGrid>
      <w:tr w:rsidR="005D54A5" w:rsidRPr="005D54A5" w14:paraId="7A1A5E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51EE7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分析维度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78CE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具体内容</w:t>
            </w:r>
          </w:p>
        </w:tc>
      </w:tr>
      <w:tr w:rsidR="005D54A5" w:rsidRPr="005D54A5" w14:paraId="2F71E6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B6CC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需求痛点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F9988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国际漫游资费高、海外手机无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GMS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框架无法运行境内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、境外号码无法接收验证短信、手机续航焦虑。</w:t>
            </w:r>
          </w:p>
        </w:tc>
      </w:tr>
      <w:tr w:rsidR="005D54A5" w:rsidRPr="005D54A5" w14:paraId="05C3A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4CED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产品形态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AEF86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机场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口岸柜台提供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预装境内常用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APP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、内置本地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5G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流量卡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的智能手机租赁服务。</w:t>
            </w:r>
          </w:p>
        </w:tc>
      </w:tr>
      <w:tr w:rsidR="005D54A5" w:rsidRPr="005D54A5" w14:paraId="1474F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7B82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收入模式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8111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基础收入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：日租金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流量套餐差价。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增值收入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：设备开机屏保广告、预装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分发导流费、超期归还滞纳金。</w:t>
            </w:r>
          </w:p>
        </w:tc>
      </w:tr>
      <w:tr w:rsidR="005D54A5" w:rsidRPr="005D54A5" w14:paraId="5824D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4432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风控逻辑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1B38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通过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外卡预授权（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Visa/Mastercard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）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冻结押金，归还设备解冻。该技术链路在银行收单体系完全成熟。</w:t>
            </w:r>
          </w:p>
        </w:tc>
      </w:tr>
      <w:tr w:rsidR="005D54A5" w:rsidRPr="005D54A5" w14:paraId="3C714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3AE77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战略价值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8D8C8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抢占入境流量的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第一触点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。租赁手机作为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硬件的负一屏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，是后续所有推流业务的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强制载体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</w:tbl>
    <w:p w14:paraId="6140DBF0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5.2 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模块二：入境流量分发与本地生活服务导购（推流分润）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0242"/>
      </w:tblGrid>
      <w:tr w:rsidR="005D54A5" w:rsidRPr="005D54A5" w14:paraId="7E8A62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63B4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分析维度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97E0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具体内容</w:t>
            </w:r>
          </w:p>
        </w:tc>
      </w:tr>
      <w:tr w:rsidR="005D54A5" w:rsidRPr="005D54A5" w14:paraId="10ABA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EEDAD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商业逻辑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0BE92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境外用户语言不通、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不熟，存在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决策依赖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。在用户联网的第一界面提供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可信的本地生活推荐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，具有极高的转化率。</w:t>
            </w:r>
          </w:p>
        </w:tc>
      </w:tr>
      <w:tr w:rsidR="005D54A5" w:rsidRPr="005D54A5" w14:paraId="14A6E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4A64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推流形态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A06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1. 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终端推流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：租赁手机开机向导页、负一屏常驻卡片、预装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图标置顶。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2. 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平台推流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：入境通小程序首页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“Where to go”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推荐流、基于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LBS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的餐厅推荐。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3. 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短信唤醒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：基于租赁号码的服务类短信推送（合规前提下）。</w:t>
            </w:r>
          </w:p>
        </w:tc>
      </w:tr>
      <w:tr w:rsidR="005D54A5" w:rsidRPr="005D54A5" w14:paraId="40894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0C64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利润模型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41C2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CPA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（按激活）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：引导下载注册美团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携程海外版，收取拉新佣金。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CPS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（按成交）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：引导完成酒店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门票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专车预订，抽取订单金额的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3%-5%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作为导购佣金。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联合营销年框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：与平台签署独家排他协议，收取年度推广服务费。</w:t>
            </w:r>
          </w:p>
        </w:tc>
      </w:tr>
      <w:tr w:rsidR="005D54A5" w:rsidRPr="005D54A5" w14:paraId="1FFB6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2F78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核心优势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D037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转化率壁垒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：推流与底层支付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身份打通，外卡下单成功率远高于普通游客。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生态补贴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：推流产生的高毛利收入可用于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补贴手机租赁的硬件折旧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，实现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租金免费、服务变现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的互联网打法。</w:t>
            </w:r>
          </w:p>
        </w:tc>
      </w:tr>
    </w:tbl>
    <w:p w14:paraId="0B9D518F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5.3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商业闭环全景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图</w:t>
      </w:r>
    </w:p>
    <w:p w14:paraId="2D4E96F8" w14:textId="77777777" w:rsidR="005D54A5" w:rsidRPr="005D54A5" w:rsidRDefault="005D54A5" w:rsidP="005D54A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3B026E87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机场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口岸柜台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]</w:t>
      </w:r>
    </w:p>
    <w:p w14:paraId="675700FD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↓ 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提供硬件载体</w:t>
      </w:r>
    </w:p>
    <w:p w14:paraId="0FCDE2D9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手机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/SIM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卡租赁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] ——&gt; (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收取租金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押金预授权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)</w:t>
      </w:r>
    </w:p>
    <w:p w14:paraId="688458C0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↓ 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植入服务界面</w:t>
      </w:r>
    </w:p>
    <w:p w14:paraId="384DA740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入境通小程序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/ 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手机负一屏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] ——&gt; (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聚合信息与服务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)</w:t>
      </w:r>
    </w:p>
    <w:p w14:paraId="16161280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↓ 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精准推荐与跳转</w:t>
      </w:r>
    </w:p>
    <w:p w14:paraId="67D08094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美团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携程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滴滴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海外版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] ——&gt; (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完成预订与支付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)</w:t>
      </w:r>
    </w:p>
    <w:p w14:paraId="44E1A3ED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↓ 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按效果付费</w:t>
      </w:r>
    </w:p>
    <w:p w14:paraId="1F5AA619" w14:textId="77777777" w:rsidR="005D54A5" w:rsidRPr="005D54A5" w:rsidRDefault="005D54A5" w:rsidP="005D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利润回补：导购佣金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广告年框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] ——&gt; (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覆盖硬件成本，实现盈利</w:t>
      </w:r>
      <w:r w:rsidRPr="005D54A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)</w:t>
      </w:r>
    </w:p>
    <w:p w14:paraId="73A2CF3E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3C4A2E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F56646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第六章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初步风险评估与应对策略（可公开部分）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3489"/>
        <w:gridCol w:w="6447"/>
      </w:tblGrid>
      <w:tr w:rsidR="005D54A5" w:rsidRPr="005D54A5" w14:paraId="0EEE77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162B9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1E23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潜在风险描述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1F0C4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应对策略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可行性分析结论</w:t>
            </w:r>
          </w:p>
        </w:tc>
      </w:tr>
      <w:tr w:rsidR="005D54A5" w:rsidRPr="005D54A5" w14:paraId="4398C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A247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政策变动风险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7F11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跨境数据流动规则进一步收紧。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576BB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项目设计采用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数据本地化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处理策略，跨境链路仅传输核验结果哈希值，符合现行监管导向。</w:t>
            </w:r>
          </w:p>
        </w:tc>
      </w:tr>
      <w:tr w:rsidR="005D54A5" w:rsidRPr="005D54A5" w14:paraId="204AF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27B1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市场接受度风险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39735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境外用户对下载新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APP/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租赁手机存在抵触。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C80EE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采用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“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平台即服务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”</w:t>
            </w:r>
            <w:r w:rsidRPr="005D54A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模式，租赁手机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预装即用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；平台服务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免下载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  <w:tr w:rsidR="005D54A5" w:rsidRPr="005D54A5" w14:paraId="03C9B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83F2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资产安全风险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D580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租赁手机丢失或被盗。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A4945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依托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外卡预授权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及</w:t>
            </w:r>
            <w:r w:rsidRPr="005D54A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IMEI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锁机机制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，风险敞口可控。</w:t>
            </w:r>
          </w:p>
        </w:tc>
      </w:tr>
      <w:tr w:rsidR="005D54A5" w:rsidRPr="005D54A5" w14:paraId="69A58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73FA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运营推广风险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2B83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获客渠道依赖于口岸及航司合作。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E3DCC" w14:textId="77777777" w:rsidR="005D54A5" w:rsidRPr="005D54A5" w:rsidRDefault="005D54A5" w:rsidP="005D54A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可行性结论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：目前各地口岸办、文旅局对于提升入境满意度有强烈诉求，</w:t>
            </w:r>
            <w:r w:rsidRPr="005D54A5">
              <w:rPr>
                <w:rFonts w:ascii="Microsoft YaHei" w:eastAsia="Microsoft YaHei" w:hAnsi="Microsoft YaHei" w:cs="Microsoft YaHei"/>
                <w:b/>
                <w:bCs/>
                <w:kern w:val="0"/>
                <w:sz w:val="23"/>
                <w:szCs w:val="23"/>
                <w14:ligatures w14:val="none"/>
              </w:rPr>
              <w:t>合作意愿基础良好</w:t>
            </w:r>
            <w:r w:rsidRPr="005D54A5">
              <w:rPr>
                <w:rFonts w:ascii="Microsoft YaHei" w:eastAsia="Microsoft YaHei" w:hAnsi="Microsoft YaHei" w:cs="Microsoft YaHe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</w:tbl>
    <w:p w14:paraId="0D8FBFA3" w14:textId="77777777" w:rsidR="005D54A5" w:rsidRPr="005D54A5" w:rsidRDefault="00D730D3" w:rsidP="005D54A5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730D3">
        <w:rPr>
          <w:rFonts w:ascii="Times New Roman" w:eastAsia="Times New Roman" w:hAnsi="Times New Roman" w:cs="Times New Roman"/>
          <w:noProof/>
          <w:kern w:val="0"/>
        </w:rPr>
        <w:pict w14:anchorId="4BD0102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B78F74" w14:textId="77777777" w:rsidR="005D54A5" w:rsidRPr="005D54A5" w:rsidRDefault="005D54A5" w:rsidP="005D54A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第七章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初步结论与建</w:t>
      </w:r>
      <w:r w:rsidRPr="005D54A5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议</w:t>
      </w:r>
    </w:p>
    <w:p w14:paraId="43073AAB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基于上述对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政策、市场、技术、商业模式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四个维度的公开调研，初步可行性结论如下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14:paraId="076290AF" w14:textId="77777777" w:rsidR="005D54A5" w:rsidRPr="005D54A5" w:rsidRDefault="005D54A5" w:rsidP="005D54A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项目立项依据充分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：该项目精准回应了国家扩大高水平对外开放过程中的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微观服务短板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，具有较强的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社会效益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与明确的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市场应用场景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6B5545E4" w14:textId="77777777" w:rsidR="005D54A5" w:rsidRPr="005D54A5" w:rsidRDefault="005D54A5" w:rsidP="005D54A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商业闭环逻辑清晰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：通过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硬件租赁获客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+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本地生活推流变现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的双轮驱动模式，项目具备自我造血能力，摆脱了单纯依赖财政补贴的不可持续性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41671E22" w14:textId="77777777" w:rsidR="005D54A5" w:rsidRPr="005D54A5" w:rsidRDefault="005D54A5" w:rsidP="005D54A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竞争壁垒明确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物理入口（手机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/SIM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卡）与数字服务（入境通平台）的强绑定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，构成了纯线上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t>APP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难以复制的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场景独占壁垒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2BFBE42E" w14:textId="77777777" w:rsidR="005D54A5" w:rsidRPr="005D54A5" w:rsidRDefault="005D54A5" w:rsidP="005D54A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技术路径稳健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：不存在无法解决的关键技术断点，且合规架构具备前瞻性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796D8CC7" w14:textId="77777777" w:rsidR="005D54A5" w:rsidRPr="005D54A5" w:rsidRDefault="005D54A5" w:rsidP="005D54A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建议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5D54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同意项目进入下一阶段（如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详细需求调研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最小可行性产品（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MVP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）原型设计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阶段），重点就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境内第三方平台（美团</w:t>
      </w:r>
      <w:r w:rsidRPr="005D54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5D54A5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携程等）接入意愿及分润比例</w:t>
      </w:r>
      <w:r w:rsidRPr="005D54A5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进行深入商务摸底</w:t>
      </w:r>
      <w:r w:rsidRPr="005D54A5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14:paraId="1E3A4C5A" w14:textId="77777777" w:rsidR="005D54A5" w:rsidRDefault="005D54A5"/>
    <w:sectPr w:rsidR="005D5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93C"/>
    <w:multiLevelType w:val="multilevel"/>
    <w:tmpl w:val="1A2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00948"/>
    <w:multiLevelType w:val="multilevel"/>
    <w:tmpl w:val="7DE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54D70"/>
    <w:multiLevelType w:val="multilevel"/>
    <w:tmpl w:val="F60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67FC6"/>
    <w:multiLevelType w:val="multilevel"/>
    <w:tmpl w:val="54E6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94449"/>
    <w:multiLevelType w:val="multilevel"/>
    <w:tmpl w:val="BC6A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A3EDC"/>
    <w:multiLevelType w:val="multilevel"/>
    <w:tmpl w:val="7A1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67DFB"/>
    <w:multiLevelType w:val="multilevel"/>
    <w:tmpl w:val="D25A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229713">
    <w:abstractNumId w:val="2"/>
  </w:num>
  <w:num w:numId="2" w16cid:durableId="1469011251">
    <w:abstractNumId w:val="0"/>
  </w:num>
  <w:num w:numId="3" w16cid:durableId="421535738">
    <w:abstractNumId w:val="3"/>
  </w:num>
  <w:num w:numId="4" w16cid:durableId="2037269535">
    <w:abstractNumId w:val="6"/>
  </w:num>
  <w:num w:numId="5" w16cid:durableId="268661195">
    <w:abstractNumId w:val="1"/>
  </w:num>
  <w:num w:numId="6" w16cid:durableId="1117987633">
    <w:abstractNumId w:val="5"/>
  </w:num>
  <w:num w:numId="7" w16cid:durableId="2066096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A5"/>
    <w:rsid w:val="005D54A5"/>
    <w:rsid w:val="006A56D5"/>
    <w:rsid w:val="00D7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BAFE"/>
  <w15:chartTrackingRefBased/>
  <w15:docId w15:val="{46981BD7-F4E8-714F-9BA4-8FCAF4C8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4A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D5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54A5"/>
    <w:rPr>
      <w:b/>
      <w:bCs/>
    </w:rPr>
  </w:style>
  <w:style w:type="character" w:styleId="Emphasis">
    <w:name w:val="Emphasis"/>
    <w:basedOn w:val="DefaultParagraphFont"/>
    <w:uiPriority w:val="20"/>
    <w:qFormat/>
    <w:rsid w:val="005D54A5"/>
    <w:rPr>
      <w:i/>
      <w:iCs/>
    </w:rPr>
  </w:style>
  <w:style w:type="character" w:customStyle="1" w:styleId="d813de27">
    <w:name w:val="d813de27"/>
    <w:basedOn w:val="DefaultParagraphFont"/>
    <w:rsid w:val="005D54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4A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1580</Words>
  <Characters>1661</Characters>
  <Application>Microsoft Office Word</Application>
  <DocSecurity>0</DocSecurity>
  <Lines>103</Lines>
  <Paragraphs>108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Wang</dc:creator>
  <cp:keywords/>
  <dc:description/>
  <cp:lastModifiedBy>Bert Wang</cp:lastModifiedBy>
  <cp:revision>1</cp:revision>
  <dcterms:created xsi:type="dcterms:W3CDTF">2026-04-15T00:32:00Z</dcterms:created>
  <dcterms:modified xsi:type="dcterms:W3CDTF">2026-04-15T00:33:00Z</dcterms:modified>
</cp:coreProperties>
</file>