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47" w:rsidRDefault="00FA3EF0" w:rsidP="00D055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C90714" w:rsidRPr="00C90714">
        <w:rPr>
          <w:b/>
          <w:sz w:val="28"/>
          <w:szCs w:val="28"/>
        </w:rPr>
        <w:t>3</w:t>
      </w:r>
      <w:r w:rsidR="003403F0">
        <w:rPr>
          <w:b/>
          <w:sz w:val="28"/>
          <w:szCs w:val="28"/>
        </w:rPr>
        <w:t>.</w:t>
      </w:r>
    </w:p>
    <w:p w:rsidR="00D055BC" w:rsidRPr="00C90714" w:rsidRDefault="00C90714" w:rsidP="00C9071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C90714">
        <w:rPr>
          <w:b/>
          <w:color w:val="000000"/>
          <w:sz w:val="28"/>
          <w:szCs w:val="28"/>
        </w:rPr>
        <w:t>"Исследование биполярного транзистора"</w:t>
      </w:r>
    </w:p>
    <w:p w:rsidR="001A5393" w:rsidRPr="003F6D94" w:rsidRDefault="00C90714" w:rsidP="00D055BC">
      <w:pPr>
        <w:ind w:left="709" w:firstLine="709"/>
        <w:rPr>
          <w:color w:val="000000"/>
          <w:sz w:val="27"/>
          <w:szCs w:val="27"/>
        </w:rPr>
      </w:pPr>
      <w:r w:rsidRPr="00C90714">
        <w:rPr>
          <w:b/>
          <w:color w:val="000000"/>
        </w:rPr>
        <w:t>Цель работы:</w:t>
      </w:r>
      <w:r w:rsidRPr="00C90714">
        <w:rPr>
          <w:color w:val="000000"/>
        </w:rPr>
        <w:t xml:space="preserve"> Изучение устройства и принцип действия биполярных транзисторов. Снятие статических характеристик и определение по ним параметров транзисторов</w:t>
      </w:r>
      <w:r>
        <w:rPr>
          <w:color w:val="000000"/>
          <w:sz w:val="27"/>
          <w:szCs w:val="27"/>
        </w:rPr>
        <w:t>.</w:t>
      </w:r>
    </w:p>
    <w:p w:rsidR="00C90714" w:rsidRPr="003F6D94" w:rsidRDefault="00C90714" w:rsidP="00C90714">
      <w:pPr>
        <w:ind w:firstLine="709"/>
        <w:rPr>
          <w:b/>
          <w:color w:val="000000"/>
        </w:rPr>
      </w:pPr>
    </w:p>
    <w:p w:rsidR="00C90714" w:rsidRPr="003F6D94" w:rsidRDefault="00C90714" w:rsidP="00C90714">
      <w:pPr>
        <w:ind w:firstLine="709"/>
        <w:rPr>
          <w:b/>
          <w:color w:val="000000"/>
        </w:rPr>
      </w:pPr>
    </w:p>
    <w:p w:rsidR="00C90714" w:rsidRPr="00C90714" w:rsidRDefault="00C90714" w:rsidP="00C90714">
      <w:pPr>
        <w:pStyle w:val="a3"/>
        <w:jc w:val="center"/>
        <w:rPr>
          <w:b/>
          <w:color w:val="000000"/>
        </w:rPr>
      </w:pPr>
      <w:r w:rsidRPr="00C90714">
        <w:rPr>
          <w:b/>
          <w:color w:val="000000"/>
        </w:rPr>
        <w:t>Теоретическое обоснование работы</w:t>
      </w:r>
    </w:p>
    <w:p w:rsidR="00C90714" w:rsidRPr="00C90714" w:rsidRDefault="00C90714" w:rsidP="00C90714">
      <w:pPr>
        <w:pStyle w:val="a3"/>
        <w:ind w:firstLine="709"/>
        <w:rPr>
          <w:color w:val="000000"/>
        </w:rPr>
      </w:pPr>
      <w:r w:rsidRPr="00C90714">
        <w:rPr>
          <w:color w:val="000000"/>
        </w:rPr>
        <w:t>Биполярным транзистором называют полупроводниковый прибор с двумя взаимодействующими p-n - переходами и тремя или более выводами. Он представляет собой полупроводниковый кристалл, в котором две крайние области с однотипной электропроводимостью разделены областью противоположной электропроводности. В зависимости от электропроводности этих трех областей различают транзист</w:t>
      </w:r>
      <w:r>
        <w:rPr>
          <w:color w:val="000000"/>
        </w:rPr>
        <w:t xml:space="preserve">оры </w:t>
      </w:r>
      <w:proofErr w:type="spellStart"/>
      <w:r>
        <w:rPr>
          <w:color w:val="000000"/>
        </w:rPr>
        <w:t>n-p-n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p-n-p</w:t>
      </w:r>
      <w:proofErr w:type="spellEnd"/>
      <w:r>
        <w:rPr>
          <w:color w:val="000000"/>
        </w:rPr>
        <w:t xml:space="preserve"> типа</w:t>
      </w:r>
      <w:r w:rsidRPr="00C90714">
        <w:rPr>
          <w:color w:val="000000"/>
        </w:rPr>
        <w:t>. Термин "биполярный" подчеркивает, что в работе таких транзисторов играют роль оба типа носителей зарядов - электроны и дырки. В настоящее время более распространены n-p-n транзисторы, которые и будем рассматривать ниже.</w:t>
      </w:r>
    </w:p>
    <w:p w:rsidR="00C90714" w:rsidRPr="003F6D94" w:rsidRDefault="00C90714" w:rsidP="00C90714">
      <w:pPr>
        <w:pStyle w:val="a3"/>
        <w:ind w:firstLine="709"/>
        <w:rPr>
          <w:color w:val="000000"/>
        </w:rPr>
      </w:pPr>
      <w:r w:rsidRPr="00C90714">
        <w:rPr>
          <w:color w:val="000000"/>
        </w:rPr>
        <w:t>Реальные биполярные транзисторы являются ассиметричными приборами. Их p-n - переходы с</w:t>
      </w:r>
      <w:r>
        <w:rPr>
          <w:color w:val="000000"/>
        </w:rPr>
        <w:t>ущественно различаются</w:t>
      </w:r>
      <w:r w:rsidRPr="00C90714">
        <w:rPr>
          <w:color w:val="000000"/>
        </w:rPr>
        <w:t xml:space="preserve"> - один из них (n1-p) имеет гораздо меньшую площадь, чем другой (n2-p). Асимметрия наблюдается и в концентрации примесей слой n1 (см. рис.1,б) имеет большую концентрацию примесей, чем слой n2. Средний слой транзистора называют базой, крайний сильно легированный слой меньшей площади (n1) - эмиттером, а слой с большей площадью (n2) - коллектором. Соответственно, n1-p - переход называют эмиттерным, а n2-p - переход коллекторным.</w:t>
      </w:r>
    </w:p>
    <w:p w:rsidR="00C90714" w:rsidRPr="00C90714" w:rsidRDefault="00C90714" w:rsidP="00C90714">
      <w:pPr>
        <w:pStyle w:val="a3"/>
        <w:rPr>
          <w:color w:val="000000"/>
        </w:rPr>
      </w:pPr>
      <w:r w:rsidRPr="00C90714">
        <w:rPr>
          <w:color w:val="000000"/>
        </w:rPr>
        <w:t>Конструктивно транзистор представляет собой полупроводниковый кристалл, часть поверхностей которого (базы, эмиттера и коллектора) покрывается металлической пленкой. К этим пленкам привариваются или припаиваются внешние выводы всех электродов транзистора. Сам кристалл укрепляют на кристаллодержателе и помещают в гер</w:t>
      </w:r>
      <w:r>
        <w:rPr>
          <w:color w:val="000000"/>
        </w:rPr>
        <w:t>метизированный корпус</w:t>
      </w:r>
      <w:r w:rsidRPr="00C90714">
        <w:rPr>
          <w:color w:val="000000"/>
        </w:rPr>
        <w:t>, а выводы через изоляторы в дне корпуса выводят наружу. В мощных транзисторах коллектор часто непосредственно соединяют с основанием, что увеличивает рассеиваемую на нем мощность. В этом случае коллекторным выводом служит основание корпуса транзистора.</w:t>
      </w:r>
    </w:p>
    <w:p w:rsidR="00C90714" w:rsidRDefault="00C90714" w:rsidP="00C90714">
      <w:pPr>
        <w:pStyle w:val="a3"/>
        <w:rPr>
          <w:color w:val="000000"/>
          <w:lang w:val="en-US"/>
        </w:rPr>
      </w:pPr>
      <w:r w:rsidRPr="00C90714">
        <w:rPr>
          <w:color w:val="000000"/>
        </w:rPr>
        <w:t>Взаимодействие между p-n переходами обеспечивается малой шириной базы w, которая у современных транзисторов не превышает 1 мкм. Основные свойства транзистора определяются процессами в его базе.</w:t>
      </w:r>
    </w:p>
    <w:p w:rsidR="00C90714" w:rsidRDefault="00C90714" w:rsidP="00C90714">
      <w:pPr>
        <w:pStyle w:val="a3"/>
        <w:jc w:val="center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967740</wp:posOffset>
            </wp:positionH>
            <wp:positionV relativeFrom="paragraph">
              <wp:posOffset>356235</wp:posOffset>
            </wp:positionV>
            <wp:extent cx="3638550" cy="1571625"/>
            <wp:effectExtent l="19050" t="0" r="0" b="0"/>
            <wp:wrapTopAndBottom/>
            <wp:docPr id="9" name="Рисунок 2" descr="RI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_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Схема.</w:t>
      </w:r>
    </w:p>
    <w:p w:rsidR="006F243D" w:rsidRPr="003F6D94" w:rsidRDefault="006F243D" w:rsidP="003F6D94">
      <w:pPr>
        <w:pStyle w:val="a3"/>
        <w:rPr>
          <w:b/>
          <w:color w:val="000000"/>
        </w:rPr>
      </w:pPr>
    </w:p>
    <w:p w:rsidR="00C90714" w:rsidRDefault="00C90714" w:rsidP="00C90714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Таблицы.</w:t>
      </w:r>
    </w:p>
    <w:p w:rsidR="00C90714" w:rsidRPr="00C90714" w:rsidRDefault="00C90714" w:rsidP="00C90714">
      <w:pPr>
        <w:pStyle w:val="ac"/>
        <w:jc w:val="right"/>
        <w:rPr>
          <w:rFonts w:ascii="Times New Roman" w:hAnsi="Times New Roman"/>
          <w:sz w:val="22"/>
          <w:szCs w:val="22"/>
        </w:rPr>
      </w:pPr>
      <w:r w:rsidRPr="00C90714">
        <w:rPr>
          <w:rFonts w:ascii="Times New Roman" w:hAnsi="Times New Roman"/>
          <w:sz w:val="22"/>
          <w:szCs w:val="22"/>
        </w:rPr>
        <w:t>Таблица 1</w:t>
      </w:r>
    </w:p>
    <w:tbl>
      <w:tblPr>
        <w:tblpPr w:leftFromText="180" w:rightFromText="180" w:vertAnchor="text" w:horzAnchor="page" w:tblpXSpec="center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09"/>
        <w:gridCol w:w="709"/>
        <w:gridCol w:w="708"/>
        <w:gridCol w:w="709"/>
        <w:gridCol w:w="709"/>
        <w:gridCol w:w="709"/>
        <w:gridCol w:w="708"/>
      </w:tblGrid>
      <w:tr w:rsidR="00C90714" w:rsidTr="00C90714">
        <w:tc>
          <w:tcPr>
            <w:tcW w:w="18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I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б</w:t>
            </w:r>
            <w:r>
              <w:rPr>
                <w:rFonts w:ascii="Times New Roman" w:hAnsi="Times New Roman"/>
                <w:i/>
                <w:sz w:val="22"/>
              </w:rPr>
              <w:t xml:space="preserve"> мкА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</w:t>
            </w:r>
          </w:p>
        </w:tc>
        <w:tc>
          <w:tcPr>
            <w:tcW w:w="708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200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400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600</w:t>
            </w:r>
          </w:p>
        </w:tc>
        <w:tc>
          <w:tcPr>
            <w:tcW w:w="708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800</w:t>
            </w:r>
          </w:p>
        </w:tc>
      </w:tr>
      <w:tr w:rsidR="00C90714" w:rsidTr="00C90714">
        <w:tc>
          <w:tcPr>
            <w:tcW w:w="18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i/>
                <w:sz w:val="22"/>
              </w:rPr>
            </w:pPr>
          </w:p>
          <w:p w:rsidR="00C90714" w:rsidRDefault="00C90714" w:rsidP="00C90714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U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бэ</w:t>
            </w:r>
            <w:r>
              <w:rPr>
                <w:rFonts w:ascii="Times New Roman" w:hAnsi="Times New Roman"/>
                <w:i/>
                <w:sz w:val="22"/>
              </w:rPr>
              <w:t xml:space="preserve"> при U</w:t>
            </w:r>
            <w:r>
              <w:rPr>
                <w:rFonts w:ascii="Times New Roman" w:hAnsi="Times New Roman"/>
                <w:i/>
                <w:sz w:val="22"/>
                <w:vertAlign w:val="subscript"/>
              </w:rPr>
              <w:t>кэ</w:t>
            </w:r>
            <w:r>
              <w:rPr>
                <w:rFonts w:ascii="Times New Roman" w:hAnsi="Times New Roman"/>
                <w:i/>
                <w:sz w:val="22"/>
              </w:rPr>
              <w:t xml:space="preserve"> = -5В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  <w:p w:rsidR="00C90714" w:rsidRP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>
              <w:rPr>
                <w:rFonts w:ascii="Times New Roman" w:hAnsi="Times New Roman"/>
                <w:sz w:val="22"/>
                <w:lang w:val="en-US"/>
              </w:rPr>
              <w:t>.2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90714" w:rsidRP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1.22</w:t>
            </w:r>
          </w:p>
        </w:tc>
        <w:tc>
          <w:tcPr>
            <w:tcW w:w="708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90714" w:rsidRP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1.24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90714" w:rsidRP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1.27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sz w:val="22"/>
                <w:lang w:val="en-US"/>
              </w:rPr>
            </w:pPr>
          </w:p>
          <w:p w:rsidR="00C90714" w:rsidRPr="00C90714" w:rsidRDefault="00C90714" w:rsidP="00C90714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1.29</w:t>
            </w:r>
          </w:p>
        </w:tc>
        <w:tc>
          <w:tcPr>
            <w:tcW w:w="709" w:type="dxa"/>
          </w:tcPr>
          <w:p w:rsidR="00C90714" w:rsidRDefault="00C90714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1.31</w:t>
            </w:r>
          </w:p>
        </w:tc>
        <w:tc>
          <w:tcPr>
            <w:tcW w:w="708" w:type="dxa"/>
          </w:tcPr>
          <w:p w:rsidR="00C90714" w:rsidRDefault="00C90714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1.33</w:t>
            </w:r>
          </w:p>
        </w:tc>
      </w:tr>
      <w:tr w:rsidR="00C90714" w:rsidTr="00C90714">
        <w:tc>
          <w:tcPr>
            <w:tcW w:w="18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i/>
                <w:sz w:val="22"/>
              </w:rPr>
            </w:pPr>
          </w:p>
          <w:p w:rsidR="00C90714" w:rsidRDefault="00C90714" w:rsidP="00C90714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U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бэ</w:t>
            </w:r>
            <w:r>
              <w:rPr>
                <w:rFonts w:ascii="Times New Roman" w:hAnsi="Times New Roman"/>
                <w:i/>
                <w:sz w:val="22"/>
              </w:rPr>
              <w:t xml:space="preserve"> при U</w:t>
            </w:r>
            <w:r>
              <w:rPr>
                <w:rFonts w:ascii="Times New Roman" w:hAnsi="Times New Roman"/>
                <w:i/>
                <w:sz w:val="22"/>
                <w:vertAlign w:val="subscript"/>
              </w:rPr>
              <w:t>кэ</w:t>
            </w:r>
            <w:r>
              <w:rPr>
                <w:rFonts w:ascii="Times New Roman" w:hAnsi="Times New Roman"/>
                <w:i/>
                <w:sz w:val="22"/>
              </w:rPr>
              <w:t xml:space="preserve"> = 0В</w:t>
            </w:r>
          </w:p>
        </w:tc>
        <w:tc>
          <w:tcPr>
            <w:tcW w:w="709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1.14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1.16</w:t>
            </w:r>
          </w:p>
        </w:tc>
        <w:tc>
          <w:tcPr>
            <w:tcW w:w="708" w:type="dxa"/>
          </w:tcPr>
          <w:p w:rsidR="00C90714" w:rsidRDefault="00C90714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1,18</w:t>
            </w:r>
          </w:p>
        </w:tc>
        <w:tc>
          <w:tcPr>
            <w:tcW w:w="709" w:type="dxa"/>
          </w:tcPr>
          <w:p w:rsidR="00C90714" w:rsidRDefault="00C90714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1.21</w:t>
            </w:r>
          </w:p>
        </w:tc>
        <w:tc>
          <w:tcPr>
            <w:tcW w:w="709" w:type="dxa"/>
          </w:tcPr>
          <w:p w:rsidR="00C90714" w:rsidRDefault="00C90714" w:rsidP="00C90714">
            <w:pPr>
              <w:pStyle w:val="ac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1.23</w:t>
            </w:r>
          </w:p>
        </w:tc>
        <w:tc>
          <w:tcPr>
            <w:tcW w:w="708" w:type="dxa"/>
          </w:tcPr>
          <w:p w:rsidR="00C90714" w:rsidRDefault="00C90714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1.23</w:t>
            </w:r>
          </w:p>
        </w:tc>
      </w:tr>
    </w:tbl>
    <w:p w:rsidR="00C90714" w:rsidRPr="00C90714" w:rsidRDefault="00C90714" w:rsidP="00C90714">
      <w:pPr>
        <w:pStyle w:val="a3"/>
        <w:jc w:val="right"/>
        <w:rPr>
          <w:b/>
          <w:color w:val="000000"/>
        </w:rPr>
      </w:pPr>
    </w:p>
    <w:p w:rsidR="00C90714" w:rsidRPr="00C90714" w:rsidRDefault="00C90714" w:rsidP="00C90714">
      <w:pPr>
        <w:pStyle w:val="a3"/>
        <w:ind w:firstLine="709"/>
        <w:rPr>
          <w:color w:val="000000"/>
          <w:lang w:val="en-US"/>
        </w:rPr>
      </w:pPr>
    </w:p>
    <w:p w:rsidR="00C90714" w:rsidRDefault="00C90714" w:rsidP="00C90714">
      <w:pPr>
        <w:rPr>
          <w:b/>
          <w:color w:val="000000"/>
        </w:rPr>
      </w:pPr>
    </w:p>
    <w:p w:rsidR="00C90714" w:rsidRPr="00C90714" w:rsidRDefault="00C90714" w:rsidP="00C90714"/>
    <w:p w:rsidR="00C90714" w:rsidRPr="00C90714" w:rsidRDefault="00C90714" w:rsidP="00C90714"/>
    <w:p w:rsidR="00C90714" w:rsidRDefault="00CD4D26" w:rsidP="003F6D94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</w:rPr>
        <w:t>Таблица 2</w:t>
      </w:r>
    </w:p>
    <w:p w:rsidR="006F243D" w:rsidRPr="006F243D" w:rsidRDefault="006F243D" w:rsidP="00CD4D26">
      <w:pPr>
        <w:jc w:val="right"/>
        <w:rPr>
          <w:sz w:val="22"/>
          <w:szCs w:val="22"/>
          <w:lang w:val="en-US"/>
        </w:rPr>
      </w:pPr>
    </w:p>
    <w:tbl>
      <w:tblPr>
        <w:tblW w:w="0" w:type="auto"/>
        <w:jc w:val="center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09"/>
        <w:gridCol w:w="709"/>
        <w:gridCol w:w="850"/>
        <w:gridCol w:w="851"/>
        <w:gridCol w:w="709"/>
        <w:gridCol w:w="850"/>
        <w:gridCol w:w="851"/>
        <w:gridCol w:w="708"/>
      </w:tblGrid>
      <w:tr w:rsidR="00CD4D26" w:rsidTr="006C1CD0">
        <w:trPr>
          <w:jc w:val="center"/>
        </w:trPr>
        <w:tc>
          <w:tcPr>
            <w:tcW w:w="2009" w:type="dxa"/>
          </w:tcPr>
          <w:p w:rsidR="00CD4D26" w:rsidRDefault="00CD4D26" w:rsidP="00430470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2"/>
              </w:rPr>
              <w:t>U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кэ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>, В</w:t>
            </w:r>
          </w:p>
        </w:tc>
        <w:tc>
          <w:tcPr>
            <w:tcW w:w="709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  <w:tc>
          <w:tcPr>
            <w:tcW w:w="850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  <w:tc>
          <w:tcPr>
            <w:tcW w:w="851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</w:t>
            </w:r>
          </w:p>
        </w:tc>
        <w:tc>
          <w:tcPr>
            <w:tcW w:w="709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  <w:tc>
          <w:tcPr>
            <w:tcW w:w="850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6.0</w:t>
            </w:r>
          </w:p>
        </w:tc>
        <w:tc>
          <w:tcPr>
            <w:tcW w:w="851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8.0</w:t>
            </w:r>
          </w:p>
        </w:tc>
        <w:tc>
          <w:tcPr>
            <w:tcW w:w="708" w:type="dxa"/>
          </w:tcPr>
          <w:p w:rsidR="00CD4D26" w:rsidRDefault="00CD4D26" w:rsidP="00430470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 w:rsidR="00CD4D26" w:rsidTr="006C1CD0">
        <w:trPr>
          <w:jc w:val="center"/>
        </w:trPr>
        <w:tc>
          <w:tcPr>
            <w:tcW w:w="2009" w:type="dxa"/>
          </w:tcPr>
          <w:p w:rsidR="00CD4D26" w:rsidRDefault="00CD4D26" w:rsidP="00430470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2"/>
              </w:rPr>
              <w:t>I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к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, мА, </w:t>
            </w:r>
            <w:proofErr w:type="spellStart"/>
            <w:r>
              <w:rPr>
                <w:rFonts w:ascii="Times New Roman" w:hAnsi="Times New Roman"/>
                <w:i/>
                <w:sz w:val="22"/>
              </w:rPr>
              <w:t>I</w:t>
            </w:r>
            <w:r>
              <w:rPr>
                <w:rFonts w:ascii="Times New Roman" w:hAnsi="Times New Roman"/>
                <w:i/>
                <w:sz w:val="22"/>
                <w:vertAlign w:val="subscript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 = 0 мкА</w:t>
            </w:r>
          </w:p>
        </w:tc>
        <w:tc>
          <w:tcPr>
            <w:tcW w:w="709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850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851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09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850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851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708" w:type="dxa"/>
          </w:tcPr>
          <w:p w:rsid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D4D26" w:rsidTr="006C1CD0">
        <w:trPr>
          <w:jc w:val="center"/>
        </w:trPr>
        <w:tc>
          <w:tcPr>
            <w:tcW w:w="2009" w:type="dxa"/>
          </w:tcPr>
          <w:p w:rsidR="00CD4D26" w:rsidRDefault="00CD4D26" w:rsidP="00430470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2"/>
              </w:rPr>
              <w:t>I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к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, мА, </w:t>
            </w:r>
            <w:proofErr w:type="spellStart"/>
            <w:r>
              <w:rPr>
                <w:rFonts w:ascii="Times New Roman" w:hAnsi="Times New Roman"/>
                <w:i/>
                <w:sz w:val="22"/>
              </w:rPr>
              <w:t>I</w:t>
            </w:r>
            <w:r>
              <w:rPr>
                <w:rFonts w:ascii="Times New Roman" w:hAnsi="Times New Roman"/>
                <w:i/>
                <w:sz w:val="22"/>
                <w:vertAlign w:val="subscript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 = 20 мкА</w:t>
            </w:r>
          </w:p>
        </w:tc>
        <w:tc>
          <w:tcPr>
            <w:tcW w:w="709" w:type="dxa"/>
          </w:tcPr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  <w:r>
              <w:rPr>
                <w:rFonts w:ascii="Times New Roman" w:hAnsi="Times New Roman"/>
                <w:sz w:val="22"/>
                <w:lang w:val="en-US"/>
              </w:rPr>
              <w:t>.75</w:t>
            </w:r>
          </w:p>
        </w:tc>
        <w:tc>
          <w:tcPr>
            <w:tcW w:w="850" w:type="dxa"/>
          </w:tcPr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0.756</w:t>
            </w:r>
          </w:p>
        </w:tc>
        <w:tc>
          <w:tcPr>
            <w:tcW w:w="851" w:type="dxa"/>
          </w:tcPr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0.763</w:t>
            </w:r>
          </w:p>
        </w:tc>
        <w:tc>
          <w:tcPr>
            <w:tcW w:w="709" w:type="dxa"/>
          </w:tcPr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0.77</w:t>
            </w:r>
          </w:p>
        </w:tc>
        <w:tc>
          <w:tcPr>
            <w:tcW w:w="850" w:type="dxa"/>
          </w:tcPr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0.783</w:t>
            </w:r>
          </w:p>
        </w:tc>
        <w:tc>
          <w:tcPr>
            <w:tcW w:w="851" w:type="dxa"/>
          </w:tcPr>
          <w:p w:rsidR="00CD4D26" w:rsidRPr="00CD4D26" w:rsidRDefault="00CD4D26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0.796</w:t>
            </w:r>
          </w:p>
        </w:tc>
        <w:tc>
          <w:tcPr>
            <w:tcW w:w="708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</w:rPr>
              <w:t>0</w:t>
            </w:r>
            <w:r>
              <w:rPr>
                <w:rFonts w:ascii="Times New Roman" w:hAnsi="Times New Roman"/>
                <w:sz w:val="22"/>
                <w:lang w:val="en-US"/>
              </w:rPr>
              <w:t>.81</w:t>
            </w:r>
          </w:p>
        </w:tc>
      </w:tr>
      <w:tr w:rsidR="00CD4D26" w:rsidTr="006C1CD0">
        <w:trPr>
          <w:jc w:val="center"/>
        </w:trPr>
        <w:tc>
          <w:tcPr>
            <w:tcW w:w="2009" w:type="dxa"/>
          </w:tcPr>
          <w:p w:rsidR="00CD4D26" w:rsidRDefault="006C1CD0" w:rsidP="00430470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2"/>
              </w:rPr>
              <w:t>I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к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, мА, </w:t>
            </w:r>
            <w:proofErr w:type="spellStart"/>
            <w:r>
              <w:rPr>
                <w:rFonts w:ascii="Times New Roman" w:hAnsi="Times New Roman"/>
                <w:i/>
                <w:sz w:val="22"/>
              </w:rPr>
              <w:t>I</w:t>
            </w:r>
            <w:r>
              <w:rPr>
                <w:rFonts w:ascii="Times New Roman" w:hAnsi="Times New Roman"/>
                <w:i/>
                <w:sz w:val="22"/>
                <w:vertAlign w:val="subscript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 = 50 мкА</w:t>
            </w:r>
          </w:p>
        </w:tc>
        <w:tc>
          <w:tcPr>
            <w:tcW w:w="709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1.94</w:t>
            </w:r>
          </w:p>
        </w:tc>
        <w:tc>
          <w:tcPr>
            <w:tcW w:w="850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1.96</w:t>
            </w:r>
          </w:p>
        </w:tc>
        <w:tc>
          <w:tcPr>
            <w:tcW w:w="851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1.97</w:t>
            </w:r>
          </w:p>
        </w:tc>
        <w:tc>
          <w:tcPr>
            <w:tcW w:w="709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1.99</w:t>
            </w:r>
          </w:p>
        </w:tc>
        <w:tc>
          <w:tcPr>
            <w:tcW w:w="850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2.03</w:t>
            </w:r>
          </w:p>
        </w:tc>
        <w:tc>
          <w:tcPr>
            <w:tcW w:w="851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2.06</w:t>
            </w:r>
          </w:p>
        </w:tc>
        <w:tc>
          <w:tcPr>
            <w:tcW w:w="708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2.09</w:t>
            </w:r>
          </w:p>
        </w:tc>
      </w:tr>
      <w:tr w:rsidR="00CD4D26" w:rsidTr="006C1CD0">
        <w:trPr>
          <w:jc w:val="center"/>
        </w:trPr>
        <w:tc>
          <w:tcPr>
            <w:tcW w:w="2009" w:type="dxa"/>
          </w:tcPr>
          <w:p w:rsidR="00CD4D26" w:rsidRDefault="00CD4D26" w:rsidP="00430470">
            <w:pPr>
              <w:pStyle w:val="ac"/>
              <w:rPr>
                <w:rFonts w:ascii="Times New Roman" w:hAnsi="Times New Roman"/>
                <w:i/>
                <w:sz w:val="22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2"/>
              </w:rPr>
              <w:t>I</w:t>
            </w:r>
            <w:proofErr w:type="gramEnd"/>
            <w:r>
              <w:rPr>
                <w:rFonts w:ascii="Times New Roman" w:hAnsi="Times New Roman"/>
                <w:i/>
                <w:sz w:val="22"/>
                <w:vertAlign w:val="subscript"/>
              </w:rPr>
              <w:t>к</w:t>
            </w:r>
            <w:proofErr w:type="spellEnd"/>
            <w:r>
              <w:rPr>
                <w:rFonts w:ascii="Times New Roman" w:hAnsi="Times New Roman"/>
                <w:i/>
                <w:sz w:val="22"/>
              </w:rPr>
              <w:t xml:space="preserve">, мА, </w:t>
            </w:r>
            <w:proofErr w:type="spellStart"/>
            <w:r>
              <w:rPr>
                <w:rFonts w:ascii="Times New Roman" w:hAnsi="Times New Roman"/>
                <w:i/>
                <w:sz w:val="22"/>
              </w:rPr>
              <w:t>I</w:t>
            </w:r>
            <w:r>
              <w:rPr>
                <w:rFonts w:ascii="Times New Roman" w:hAnsi="Times New Roman"/>
                <w:i/>
                <w:sz w:val="22"/>
                <w:vertAlign w:val="subscript"/>
              </w:rPr>
              <w:t>б</w:t>
            </w:r>
            <w:proofErr w:type="spellEnd"/>
            <w:r w:rsidR="006C1CD0">
              <w:rPr>
                <w:rFonts w:ascii="Times New Roman" w:hAnsi="Times New Roman"/>
                <w:i/>
                <w:sz w:val="22"/>
              </w:rPr>
              <w:t xml:space="preserve"> = </w:t>
            </w:r>
            <w:r w:rsidR="006C1CD0">
              <w:rPr>
                <w:rFonts w:ascii="Times New Roman" w:hAnsi="Times New Roman"/>
                <w:i/>
                <w:sz w:val="22"/>
                <w:lang w:val="en-US"/>
              </w:rPr>
              <w:t>8</w:t>
            </w:r>
            <w:r>
              <w:rPr>
                <w:rFonts w:ascii="Times New Roman" w:hAnsi="Times New Roman"/>
                <w:i/>
                <w:sz w:val="22"/>
              </w:rPr>
              <w:t>0 мкА</w:t>
            </w:r>
          </w:p>
        </w:tc>
        <w:tc>
          <w:tcPr>
            <w:tcW w:w="709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3.12</w:t>
            </w:r>
          </w:p>
        </w:tc>
        <w:tc>
          <w:tcPr>
            <w:tcW w:w="850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3.15</w:t>
            </w:r>
          </w:p>
        </w:tc>
        <w:tc>
          <w:tcPr>
            <w:tcW w:w="851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3.18</w:t>
            </w:r>
          </w:p>
        </w:tc>
        <w:tc>
          <w:tcPr>
            <w:tcW w:w="709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3.21</w:t>
            </w:r>
          </w:p>
        </w:tc>
        <w:tc>
          <w:tcPr>
            <w:tcW w:w="850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3.26</w:t>
            </w:r>
          </w:p>
        </w:tc>
        <w:tc>
          <w:tcPr>
            <w:tcW w:w="851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3.32</w:t>
            </w:r>
          </w:p>
        </w:tc>
        <w:tc>
          <w:tcPr>
            <w:tcW w:w="708" w:type="dxa"/>
          </w:tcPr>
          <w:p w:rsidR="00CD4D26" w:rsidRPr="006C1CD0" w:rsidRDefault="006C1CD0" w:rsidP="00CD4D26">
            <w:pPr>
              <w:pStyle w:val="ac"/>
              <w:jc w:val="center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3.37</w:t>
            </w:r>
          </w:p>
        </w:tc>
      </w:tr>
    </w:tbl>
    <w:p w:rsidR="006F243D" w:rsidRPr="003F6D94" w:rsidRDefault="006F243D" w:rsidP="003F6D94">
      <w:pPr>
        <w:rPr>
          <w:b/>
        </w:rPr>
      </w:pPr>
    </w:p>
    <w:p w:rsidR="006C1CD0" w:rsidRDefault="006C1CD0" w:rsidP="006C1CD0">
      <w:pPr>
        <w:jc w:val="center"/>
        <w:rPr>
          <w:b/>
          <w:lang w:val="en-US"/>
        </w:rPr>
      </w:pPr>
    </w:p>
    <w:p w:rsidR="006C1CD0" w:rsidRDefault="006C1CD0" w:rsidP="006C1CD0">
      <w:pPr>
        <w:jc w:val="center"/>
        <w:rPr>
          <w:b/>
        </w:rPr>
      </w:pPr>
      <w:r>
        <w:rPr>
          <w:b/>
        </w:rPr>
        <w:t>Графики.</w:t>
      </w:r>
    </w:p>
    <w:p w:rsidR="006C1CD0" w:rsidRDefault="006C1CD0" w:rsidP="006C1CD0">
      <w:pPr>
        <w:rPr>
          <w:b/>
        </w:rPr>
      </w:pPr>
    </w:p>
    <w:p w:rsidR="006C1CD0" w:rsidRDefault="006C1CD0" w:rsidP="006C1CD0">
      <w:pPr>
        <w:jc w:val="center"/>
        <w:rPr>
          <w:sz w:val="22"/>
        </w:rPr>
      </w:pPr>
      <w:r>
        <w:rPr>
          <w:sz w:val="22"/>
        </w:rPr>
        <w:t>Входные характеристики биполярного транзистора:</w:t>
      </w:r>
    </w:p>
    <w:p w:rsidR="006C1CD0" w:rsidRPr="006C1CD0" w:rsidRDefault="006C1CD0" w:rsidP="006C1CD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48100" cy="3076575"/>
            <wp:effectExtent l="19050" t="0" r="0" b="0"/>
            <wp:docPr id="10" name="Рисунок 9" descr="lab3vh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vhod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14" w:rsidRDefault="006F243D" w:rsidP="006F243D">
      <w:pPr>
        <w:jc w:val="center"/>
      </w:pPr>
      <w:r>
        <w:lastRenderedPageBreak/>
        <w:t>Выходные характеристики биполярного транзистора:</w:t>
      </w:r>
    </w:p>
    <w:p w:rsidR="003F769C" w:rsidRDefault="003F769C" w:rsidP="006F243D">
      <w:pPr>
        <w:jc w:val="center"/>
      </w:pPr>
      <w:r>
        <w:rPr>
          <w:noProof/>
        </w:rPr>
        <w:drawing>
          <wp:inline distT="0" distB="0" distL="0" distR="0">
            <wp:extent cx="3419475" cy="3324225"/>
            <wp:effectExtent l="19050" t="0" r="9525" b="0"/>
            <wp:docPr id="11" name="Рисунок 10" descr="lab3vy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vyho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3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9C" w:rsidRDefault="003F769C" w:rsidP="006F243D">
      <w:pPr>
        <w:jc w:val="center"/>
      </w:pPr>
    </w:p>
    <w:p w:rsidR="003F769C" w:rsidRPr="003F769C" w:rsidRDefault="003F769C" w:rsidP="003F769C">
      <w:pPr>
        <w:tabs>
          <w:tab w:val="left" w:pos="3210"/>
        </w:tabs>
        <w:ind w:left="708"/>
      </w:pPr>
      <w:r>
        <w:rPr>
          <w:b/>
        </w:rPr>
        <w:t xml:space="preserve">Вывод: </w:t>
      </w:r>
      <w:r>
        <w:t>в ходе этой лабораторной работы я изучил устройство и принцип действия биполярных транзисторов. Также снял статические характеристики и определил по ним параметры транзисторов.</w:t>
      </w:r>
    </w:p>
    <w:sectPr w:rsidR="003F769C" w:rsidRPr="003F769C" w:rsidSect="00F0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7D8" w:rsidRDefault="008D67D8" w:rsidP="008D67D8">
      <w:r>
        <w:separator/>
      </w:r>
    </w:p>
  </w:endnote>
  <w:endnote w:type="continuationSeparator" w:id="0">
    <w:p w:rsidR="008D67D8" w:rsidRDefault="008D67D8" w:rsidP="008D6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7D8" w:rsidRDefault="008D67D8" w:rsidP="008D67D8">
      <w:r>
        <w:separator/>
      </w:r>
    </w:p>
  </w:footnote>
  <w:footnote w:type="continuationSeparator" w:id="0">
    <w:p w:rsidR="008D67D8" w:rsidRDefault="008D67D8" w:rsidP="008D67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11C"/>
    <w:rsid w:val="00101A6F"/>
    <w:rsid w:val="001A5393"/>
    <w:rsid w:val="001F7A2E"/>
    <w:rsid w:val="00231A3E"/>
    <w:rsid w:val="003403F0"/>
    <w:rsid w:val="003F6D94"/>
    <w:rsid w:val="003F769C"/>
    <w:rsid w:val="0068211C"/>
    <w:rsid w:val="00686776"/>
    <w:rsid w:val="006C1CD0"/>
    <w:rsid w:val="006F243D"/>
    <w:rsid w:val="008D67D8"/>
    <w:rsid w:val="008E0A8B"/>
    <w:rsid w:val="00923618"/>
    <w:rsid w:val="00BE243E"/>
    <w:rsid w:val="00C90714"/>
    <w:rsid w:val="00CD1107"/>
    <w:rsid w:val="00CD4D26"/>
    <w:rsid w:val="00D055BC"/>
    <w:rsid w:val="00D35275"/>
    <w:rsid w:val="00F03447"/>
    <w:rsid w:val="00FA3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11C"/>
    <w:pPr>
      <w:spacing w:before="100" w:beforeAutospacing="1" w:after="100" w:afterAutospacing="1"/>
    </w:pPr>
  </w:style>
  <w:style w:type="table" w:styleId="a4">
    <w:name w:val="Table Grid"/>
    <w:basedOn w:val="a1"/>
    <w:uiPriority w:val="59"/>
    <w:rsid w:val="00D05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055B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55B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55B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8D67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D67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8D67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D67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"/>
    <w:link w:val="ad"/>
    <w:rsid w:val="00C90714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C90714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40D94-582C-4B15-A2B2-B649B6EB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Ilnaz</dc:creator>
  <cp:lastModifiedBy>Ilnaz</cp:lastModifiedBy>
  <cp:revision>3</cp:revision>
  <dcterms:created xsi:type="dcterms:W3CDTF">2017-11-16T15:29:00Z</dcterms:created>
  <dcterms:modified xsi:type="dcterms:W3CDTF">2017-11-17T12:44:00Z</dcterms:modified>
</cp:coreProperties>
</file>