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Аванс 6.4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софит 6.6 ромб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Лампы 6.8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софит 8.5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софит местный 10.5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 софит "жирный" 9.4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Фермы бок 6.7 высота, передний край чуть выступает перед мостиком. 5.5 метров от центра.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Задний край 4 метра от центра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Тотемы высота 3.8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Передний угол стены 6.8 от центра, 0.6 от внутреннего края портала.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Задний угол стены 4.8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софит вплотную к архитектурному порталу 12 метров длинна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софит сразу перед вторым местным. 8 метров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софит вплотную к галерее 14 метров. Между крайними бошками 8.5 метров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Ферма тюль 16.2 от внутреннего края портала до тюля 1.7м.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Задний экран 12.2 от внутреннего края портала до фермы 8.2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 передней марки на стол до тюля 2.8.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 переднего края фермы ламп до тюля 2.6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Пианино 2 метра от центра. сразу за 3 местным софитом.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Канат 10 штанкет, 3.2 м от центра.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Кольца 4 штанкет, 2.7 метров от центра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Колонки на 4 с краю приборах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