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03" w:rsidRDefault="00FB5C03" w:rsidP="00FB5C03">
      <w:pPr>
        <w:rPr>
          <w:b/>
        </w:rPr>
      </w:pPr>
    </w:p>
    <w:p w:rsidR="00FB5C03" w:rsidRDefault="00FB5C03" w:rsidP="00FB5C03">
      <w:pPr>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47624</wp:posOffset>
                </wp:positionH>
                <wp:positionV relativeFrom="paragraph">
                  <wp:posOffset>65405</wp:posOffset>
                </wp:positionV>
                <wp:extent cx="6010275" cy="0"/>
                <wp:effectExtent l="0" t="19050" r="9525" b="19050"/>
                <wp:wrapNone/>
                <wp:docPr id="3" name="Straight Connector 3"/>
                <wp:cNvGraphicFramePr/>
                <a:graphic xmlns:a="http://schemas.openxmlformats.org/drawingml/2006/main">
                  <a:graphicData uri="http://schemas.microsoft.com/office/word/2010/wordprocessingShape">
                    <wps:wsp>
                      <wps:cNvCnPr/>
                      <wps:spPr>
                        <a:xfrm>
                          <a:off x="0" y="0"/>
                          <a:ext cx="60102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5pt,5.15pt" to="47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vt7wAEAANQDAAAOAAAAZHJzL2Uyb0RvYy54bWysU02P0zAQvSPxHyzfqZOuWFZR0z10BRcE&#10;FQs/wOuMG0v+0tg06b9n7LbZFSAhEBfH9rw38954srmfnWVHwGSC73m7ajgDr8Jg/KHn376+f3PH&#10;WcrSD9IGDz0/QeL329evNlPsYB3GYAdARkl86qbY8zHn2AmR1AhOplWI4CmoAzqZ6YgHMaCcKLuz&#10;Yt00t2IKOEQMClKi24dzkG9rfq1B5c9aJ8jM9py05bpiXZ/KKrYb2R1QxtGoiwz5DyqcNJ6KLqke&#10;ZJbsO5pfUjmjMKSg80oFJ4LWRkH1QG7a5ic3j6OMUL1Qc1Jc2pT+X1r16bhHZoae33DmpaMneswo&#10;zWHMbBe8pwYGZDelT1NMHcF3fo+XU4p7LKZnja58yQ6ba29PS29hzkzR5S3ZW797y5m6xsQzMWLK&#10;HyA4VjY9t8YX27KTx48pUzGCXiHl2no2keC7tqkPKIqys5a6yycLZ9gX0OSNqrc1XZ0q2FlkR0nz&#10;IJUCn9vijQpYT+hC08bahdj8mXjBFyrUifsb8sKolYPPC9kZH/B31fN8lazPeJL/wnfZPoXhVF+p&#10;Bmh0qsPLmJfZfHmu9OefcfsDAAD//wMAUEsDBBQABgAIAAAAIQDfygMK2wAAAAcBAAAPAAAAZHJz&#10;L2Rvd25yZXYueG1sTI/NTsMwEITvSLyDtUjcqMNPKYQ4FapAcOiFFvW8jZckEK8j20kDT88iDnDc&#10;mdHsN8Vycp0aKcTWs4HzWQaKuPK25drA6/bx7AZUTMgWO89k4JMiLMvjowJz6w/8QuMm1UpKOOZo&#10;oEmpz7WOVUMO48z3xOK9+eAwyRlqbQMepNx1+iLLrrXDluVDgz2tGqo+NoMzULsn9578c9jiw25Y&#10;jF+rardujTk9me7vQCWa0l8YfvAFHUph2vuBbVSdgcVcgiJnl6DEvp1fybT9r6DLQv/nL78BAAD/&#10;/wMAUEsBAi0AFAAGAAgAAAAhALaDOJL+AAAA4QEAABMAAAAAAAAAAAAAAAAAAAAAAFtDb250ZW50&#10;X1R5cGVzXS54bWxQSwECLQAUAAYACAAAACEAOP0h/9YAAACUAQAACwAAAAAAAAAAAAAAAAAvAQAA&#10;X3JlbHMvLnJlbHNQSwECLQAUAAYACAAAACEAhH77e8ABAADUAwAADgAAAAAAAAAAAAAAAAAuAgAA&#10;ZHJzL2Uyb0RvYy54bWxQSwECLQAUAAYACAAAACEA38oDCtsAAAAHAQAADwAAAAAAAAAAAAAAAAAa&#10;BAAAZHJzL2Rvd25yZXYueG1sUEsFBgAAAAAEAAQA8wAAACIFAAAAAA==&#10;" strokecolor="#4579b8 [3044]" strokeweight="3pt"/>
            </w:pict>
          </mc:Fallback>
        </mc:AlternateContent>
      </w:r>
    </w:p>
    <w:p w:rsidR="00FB5C03" w:rsidRPr="00ED532F" w:rsidRDefault="00FB5C03" w:rsidP="00FB5C03">
      <w:pPr>
        <w:rPr>
          <w:b/>
          <w:sz w:val="28"/>
          <w:szCs w:val="28"/>
        </w:rPr>
      </w:pPr>
      <w:r w:rsidRPr="00ED532F">
        <w:rPr>
          <w:b/>
          <w:sz w:val="28"/>
          <w:szCs w:val="28"/>
        </w:rPr>
        <w:t>Changes and Updates from 2.</w:t>
      </w:r>
      <w:r>
        <w:rPr>
          <w:b/>
          <w:sz w:val="28"/>
          <w:szCs w:val="28"/>
        </w:rPr>
        <w:t xml:space="preserve">5L2 </w:t>
      </w:r>
      <w:r w:rsidRPr="00ED532F">
        <w:rPr>
          <w:b/>
          <w:sz w:val="28"/>
          <w:szCs w:val="28"/>
        </w:rPr>
        <w:t>to 2.</w:t>
      </w:r>
      <w:r>
        <w:rPr>
          <w:b/>
          <w:sz w:val="28"/>
          <w:szCs w:val="28"/>
        </w:rPr>
        <w:t>6</w:t>
      </w:r>
      <w:r w:rsidRPr="00ED532F">
        <w:rPr>
          <w:b/>
          <w:sz w:val="28"/>
          <w:szCs w:val="28"/>
        </w:rPr>
        <w:t>:</w:t>
      </w:r>
    </w:p>
    <w:p w:rsidR="00FB5C03" w:rsidRPr="005B201C" w:rsidRDefault="00FB5C03" w:rsidP="005B201C">
      <w:pPr>
        <w:pStyle w:val="ListParagraph"/>
        <w:numPr>
          <w:ilvl w:val="0"/>
          <w:numId w:val="8"/>
        </w:numPr>
        <w:rPr>
          <w:b/>
        </w:rPr>
      </w:pPr>
      <w:proofErr w:type="gramStart"/>
      <w:r w:rsidRPr="00DC7223">
        <w:rPr>
          <w:b/>
        </w:rPr>
        <w:t xml:space="preserve">UAF </w:t>
      </w:r>
      <w:r w:rsidRPr="00DC7223">
        <w:t xml:space="preserve"> </w:t>
      </w:r>
      <w:r>
        <w:t>All</w:t>
      </w:r>
      <w:proofErr w:type="gramEnd"/>
      <w:r>
        <w:t xml:space="preserve"> changes in </w:t>
      </w:r>
      <w:r w:rsidR="005B201C">
        <w:t>2011BASEUnit_Availability_v2.6_15HOGJanuary2017_code1_01.zip</w:t>
      </w:r>
      <w:r>
        <w:t xml:space="preserve"> from Wendy.</w:t>
      </w:r>
      <w:r w:rsidR="005B201C">
        <w:t xml:space="preserve">  The following changes were made between 2.5L2 and 2.6, but are contained in Wendy's Jan2017 file listed above:</w:t>
      </w:r>
    </w:p>
    <w:p w:rsidR="00FB5C03" w:rsidRPr="00A3576A" w:rsidRDefault="00FB5C03" w:rsidP="005B201C">
      <w:pPr>
        <w:pStyle w:val="ListParagraph"/>
        <w:numPr>
          <w:ilvl w:val="1"/>
          <w:numId w:val="8"/>
        </w:numPr>
        <w:rPr>
          <w:b/>
        </w:rPr>
      </w:pPr>
      <w:r>
        <w:t>Added 0.24 in column AM (UF limitation) for ORIS 10567 Unit GT1, based on CT email from Wendy Jacobs.</w:t>
      </w:r>
    </w:p>
    <w:p w:rsidR="00FB5C03" w:rsidRPr="00996826" w:rsidRDefault="00FB5C03" w:rsidP="005B201C">
      <w:pPr>
        <w:pStyle w:val="ListParagraph"/>
        <w:numPr>
          <w:ilvl w:val="1"/>
          <w:numId w:val="8"/>
        </w:numPr>
        <w:rPr>
          <w:b/>
        </w:rPr>
      </w:pPr>
      <w:r>
        <w:t xml:space="preserve">Changed nominal_heat_rate form 12000 to 10000 for ORIS 1366, Unit ID 12 as the original submittal from the state suggested the use of 10000. </w:t>
      </w:r>
    </w:p>
    <w:p w:rsidR="00FB5C03" w:rsidRPr="00637BBA" w:rsidRDefault="00FB5C03" w:rsidP="005B201C">
      <w:pPr>
        <w:pStyle w:val="ListParagraph"/>
        <w:numPr>
          <w:ilvl w:val="1"/>
          <w:numId w:val="8"/>
        </w:numPr>
        <w:rPr>
          <w:b/>
        </w:rPr>
      </w:pPr>
      <w:r>
        <w:t>Made changes to OK units as listed in the 12/22/2016 email from Tom Richardson (OK) to Doris McLeod.</w:t>
      </w:r>
    </w:p>
    <w:p w:rsidR="00FB5C03" w:rsidRPr="00996826" w:rsidRDefault="00FB5C03" w:rsidP="005B201C">
      <w:pPr>
        <w:pStyle w:val="ListParagraph"/>
        <w:numPr>
          <w:ilvl w:val="1"/>
          <w:numId w:val="8"/>
        </w:numPr>
        <w:rPr>
          <w:b/>
        </w:rPr>
      </w:pPr>
      <w:r>
        <w:t>Left MD oil-to-gas units at ORIS 1554, unit 1; 1571, 3 and 4 as oil units with a notation they've switched to gas in comments.</w:t>
      </w:r>
    </w:p>
    <w:p w:rsidR="00FB5C03" w:rsidRPr="000B4B90" w:rsidRDefault="00FB5C03" w:rsidP="005B201C">
      <w:pPr>
        <w:pStyle w:val="ListParagraph"/>
        <w:numPr>
          <w:ilvl w:val="1"/>
          <w:numId w:val="8"/>
        </w:numPr>
        <w:rPr>
          <w:b/>
        </w:rPr>
      </w:pPr>
      <w:r>
        <w:t>Changed retirement date for ORIS 995, Units 7 &amp; 8 to May 31, 2018 based on email from Joh</w:t>
      </w:r>
      <w:bookmarkStart w:id="0" w:name="_GoBack"/>
      <w:bookmarkEnd w:id="0"/>
      <w:r>
        <w:t>n Welch (IN) to Doris McLeod.</w:t>
      </w:r>
    </w:p>
    <w:p w:rsidR="00FB5C03" w:rsidRPr="000B4B90" w:rsidRDefault="00FB5C03" w:rsidP="005B201C">
      <w:pPr>
        <w:pStyle w:val="ListParagraph"/>
        <w:numPr>
          <w:ilvl w:val="1"/>
          <w:numId w:val="8"/>
        </w:numPr>
        <w:rPr>
          <w:b/>
        </w:rPr>
      </w:pPr>
      <w:r>
        <w:t xml:space="preserve">Added OK units as new units.  However, they operated in 2011 but not as Part 75 </w:t>
      </w:r>
      <w:proofErr w:type="spellStart"/>
      <w:r>
        <w:t>reporters</w:t>
      </w:r>
      <w:proofErr w:type="gramStart"/>
      <w:r>
        <w:t>:ORIS</w:t>
      </w:r>
      <w:proofErr w:type="spellEnd"/>
      <w:proofErr w:type="gramEnd"/>
      <w:r>
        <w:t xml:space="preserve"> 3006, units 4, 5, 6, and ORIS 50558, CC01.  These were labeled as "new" units in the UAF.</w:t>
      </w:r>
    </w:p>
    <w:p w:rsidR="00FB5C03" w:rsidRPr="00DA7984" w:rsidRDefault="00FB5C03" w:rsidP="005B201C">
      <w:pPr>
        <w:pStyle w:val="ListParagraph"/>
        <w:numPr>
          <w:ilvl w:val="1"/>
          <w:numId w:val="8"/>
        </w:numPr>
        <w:rPr>
          <w:b/>
        </w:rPr>
      </w:pPr>
      <w:r>
        <w:t xml:space="preserve">Added OK units for AES Shady Point, ORIS 10671, Units 1A, 1B, 2A, </w:t>
      </w:r>
      <w:proofErr w:type="gramStart"/>
      <w:r>
        <w:t>2B</w:t>
      </w:r>
      <w:proofErr w:type="gramEnd"/>
      <w:r>
        <w:t>.  Set these units as "full" units and supplied hourly BY data in the hourly nonCAMD file.  Base year data supplied by OK as these units were not reporting under Part 75 in 2011.</w:t>
      </w:r>
    </w:p>
    <w:p w:rsidR="00DA7984" w:rsidRPr="00DA7984" w:rsidRDefault="00DA7984" w:rsidP="005B201C">
      <w:pPr>
        <w:pStyle w:val="ListParagraph"/>
        <w:numPr>
          <w:ilvl w:val="1"/>
          <w:numId w:val="8"/>
        </w:numPr>
        <w:rPr>
          <w:b/>
          <w:color w:val="5F497A" w:themeColor="accent4" w:themeShade="BF"/>
        </w:rPr>
      </w:pPr>
      <w:r w:rsidRPr="00DA7984">
        <w:rPr>
          <w:b/>
          <w:color w:val="5F497A" w:themeColor="accent4" w:themeShade="BF"/>
        </w:rPr>
        <w:t xml:space="preserve">Two changes needed for next CONUS runs:  </w:t>
      </w:r>
    </w:p>
    <w:p w:rsidR="00DA7984" w:rsidRPr="00DA7984" w:rsidRDefault="00DA7984" w:rsidP="00DA7984">
      <w:pPr>
        <w:pStyle w:val="ListParagraph"/>
        <w:numPr>
          <w:ilvl w:val="2"/>
          <w:numId w:val="8"/>
        </w:numPr>
        <w:rPr>
          <w:b/>
          <w:color w:val="5F497A" w:themeColor="accent4" w:themeShade="BF"/>
        </w:rPr>
      </w:pPr>
      <w:r w:rsidRPr="00DA7984">
        <w:rPr>
          <w:b/>
          <w:color w:val="5F497A" w:themeColor="accent4" w:themeShade="BF"/>
        </w:rPr>
        <w:t xml:space="preserve">ORIS 165, Unit ID 2 needs </w:t>
      </w:r>
      <w:proofErr w:type="gramStart"/>
      <w:r w:rsidRPr="00DA7984">
        <w:rPr>
          <w:b/>
          <w:color w:val="5F497A" w:themeColor="accent4" w:themeShade="BF"/>
        </w:rPr>
        <w:t>a</w:t>
      </w:r>
      <w:proofErr w:type="gramEnd"/>
      <w:r w:rsidRPr="00DA7984">
        <w:rPr>
          <w:b/>
          <w:color w:val="5F497A" w:themeColor="accent4" w:themeShade="BF"/>
        </w:rPr>
        <w:t xml:space="preserve"> "N" in column AY.  This won't change results, but it will ensure consistency between the OK submission, the documentation file, and the input files.</w:t>
      </w:r>
    </w:p>
    <w:p w:rsidR="00DA7984" w:rsidRPr="00DA7984" w:rsidRDefault="00DA7984" w:rsidP="00DA7984">
      <w:pPr>
        <w:pStyle w:val="ListParagraph"/>
        <w:numPr>
          <w:ilvl w:val="2"/>
          <w:numId w:val="8"/>
        </w:numPr>
        <w:rPr>
          <w:b/>
          <w:color w:val="5F497A" w:themeColor="accent4" w:themeShade="BF"/>
        </w:rPr>
      </w:pPr>
      <w:r w:rsidRPr="00DA7984">
        <w:rPr>
          <w:b/>
          <w:color w:val="5F497A" w:themeColor="accent4" w:themeShade="BF"/>
        </w:rPr>
        <w:t xml:space="preserve">ORIS 55651, CT-01, CT-02, CT-03, and CT-04, column AK (max unit heat input) needs to be changed from 980.8 to 890.8.  I typed that value into the input file incorrectly.  </w:t>
      </w:r>
    </w:p>
    <w:p w:rsidR="00FB5C03" w:rsidRDefault="00FB5C03" w:rsidP="00FB5C03">
      <w:pPr>
        <w:pStyle w:val="ListParagraph"/>
        <w:numPr>
          <w:ilvl w:val="0"/>
          <w:numId w:val="8"/>
        </w:numPr>
        <w:rPr>
          <w:b/>
        </w:rPr>
      </w:pPr>
      <w:proofErr w:type="gramStart"/>
      <w:r>
        <w:rPr>
          <w:b/>
        </w:rPr>
        <w:t>Controls</w:t>
      </w:r>
      <w:r w:rsidR="005B201C">
        <w:rPr>
          <w:b/>
        </w:rPr>
        <w:t xml:space="preserve">  </w:t>
      </w:r>
      <w:r w:rsidR="005B201C">
        <w:t>All</w:t>
      </w:r>
      <w:proofErr w:type="gramEnd"/>
      <w:r w:rsidR="005B201C">
        <w:t xml:space="preserve"> changes in 2011ASEControl File_v2.6_15HOGJanuary2017_code1_01.zip  Includes the following changes, which are in the Jan 2017 documentation file.</w:t>
      </w:r>
    </w:p>
    <w:p w:rsidR="00FB5C03" w:rsidRPr="00996826" w:rsidRDefault="00FB5C03" w:rsidP="00FB5C03">
      <w:pPr>
        <w:pStyle w:val="ListParagraph"/>
        <w:numPr>
          <w:ilvl w:val="1"/>
          <w:numId w:val="8"/>
        </w:numPr>
        <w:rPr>
          <w:b/>
        </w:rPr>
      </w:pPr>
      <w:r>
        <w:t xml:space="preserve">Added MD </w:t>
      </w:r>
      <w:r w:rsidRPr="00AE2BCE">
        <w:rPr>
          <w:rFonts w:cs="Arial"/>
          <w:sz w:val="20"/>
          <w:szCs w:val="20"/>
        </w:rPr>
        <w:t>SO</w:t>
      </w:r>
      <w:r w:rsidRPr="00AE2BCE">
        <w:rPr>
          <w:rFonts w:cs="Arial"/>
          <w:sz w:val="20"/>
          <w:szCs w:val="20"/>
          <w:vertAlign w:val="subscript"/>
        </w:rPr>
        <w:t>2</w:t>
      </w:r>
      <w:r>
        <w:t xml:space="preserve"> rates for 1554, unit 1 and 1571 units 3 and 4 to reflect gas use.</w:t>
      </w:r>
    </w:p>
    <w:p w:rsidR="00FB5C03" w:rsidRPr="00996826" w:rsidRDefault="00FB5C03" w:rsidP="00FB5C03">
      <w:pPr>
        <w:pStyle w:val="ListParagraph"/>
        <w:numPr>
          <w:ilvl w:val="1"/>
          <w:numId w:val="8"/>
        </w:numPr>
        <w:rPr>
          <w:b/>
        </w:rPr>
      </w:pPr>
      <w:r>
        <w:t>Made changes to OK units as listed in the 12/22/2016 email from Tom Richardson (OK) to Doris McLeod.</w:t>
      </w:r>
    </w:p>
    <w:p w:rsidR="00FB5C03" w:rsidRPr="00996826" w:rsidRDefault="00FB5C03" w:rsidP="00FB5C03">
      <w:pPr>
        <w:ind w:left="1080"/>
        <w:rPr>
          <w:b/>
        </w:rPr>
      </w:pPr>
    </w:p>
    <w:p w:rsidR="00FB5C03" w:rsidRDefault="00FB5C03" w:rsidP="00FB5C03">
      <w:pPr>
        <w:pStyle w:val="ListParagraph"/>
        <w:numPr>
          <w:ilvl w:val="0"/>
          <w:numId w:val="8"/>
        </w:numPr>
        <w:rPr>
          <w:b/>
        </w:rPr>
      </w:pPr>
      <w:r>
        <w:rPr>
          <w:b/>
        </w:rPr>
        <w:t>Seasonal Controls</w:t>
      </w:r>
      <w:r w:rsidR="005B201C" w:rsidRPr="005B201C">
        <w:t xml:space="preserve"> </w:t>
      </w:r>
      <w:r w:rsidR="005B201C">
        <w:t>All changes in 2011ASEControl File_v2.6_15HOGJanuary2017_code1_01.zip</w:t>
      </w:r>
      <w:r w:rsidR="005B201C">
        <w:t>.  These changes include the following:</w:t>
      </w:r>
    </w:p>
    <w:p w:rsidR="00FB5C03" w:rsidRPr="00996826" w:rsidRDefault="00FB5C03" w:rsidP="00FB5C03">
      <w:pPr>
        <w:pStyle w:val="ListParagraph"/>
        <w:numPr>
          <w:ilvl w:val="1"/>
          <w:numId w:val="8"/>
        </w:numPr>
        <w:rPr>
          <w:b/>
        </w:rPr>
      </w:pPr>
      <w:r>
        <w:lastRenderedPageBreak/>
        <w:t>Added MD NOx rates for OS/Non OS for 1554, unit 1 and 1571, units 3 and 4 as provided by Emily Bull (MD)</w:t>
      </w:r>
    </w:p>
    <w:p w:rsidR="00FB5C03" w:rsidRPr="00D35D69" w:rsidRDefault="00FB5C03" w:rsidP="00FB5C03">
      <w:pPr>
        <w:pStyle w:val="ListParagraph"/>
        <w:ind w:left="1440"/>
        <w:rPr>
          <w:b/>
        </w:rPr>
      </w:pPr>
    </w:p>
    <w:p w:rsidR="00FB5C03" w:rsidRDefault="00FB5C03" w:rsidP="00FB5C03">
      <w:pPr>
        <w:pStyle w:val="ListParagraph"/>
        <w:numPr>
          <w:ilvl w:val="0"/>
          <w:numId w:val="8"/>
        </w:numPr>
        <w:rPr>
          <w:b/>
        </w:rPr>
      </w:pPr>
      <w:r>
        <w:rPr>
          <w:b/>
        </w:rPr>
        <w:t>Input Variables</w:t>
      </w:r>
    </w:p>
    <w:p w:rsidR="00FB5C03" w:rsidRPr="005B201C" w:rsidRDefault="00FB5C03" w:rsidP="00FB5C03">
      <w:pPr>
        <w:pStyle w:val="ListParagraph"/>
        <w:numPr>
          <w:ilvl w:val="1"/>
          <w:numId w:val="8"/>
        </w:numPr>
        <w:rPr>
          <w:b/>
        </w:rPr>
      </w:pPr>
      <w:r>
        <w:t>Added AZNM Oil, CAMX Oil, ERCT Oil, RMPA Oil just to get rid of warnings in the preprocessor</w:t>
      </w:r>
    </w:p>
    <w:p w:rsidR="005B201C" w:rsidRDefault="005B201C">
      <w:pPr>
        <w:spacing w:after="200"/>
      </w:pPr>
      <w:r>
        <w:br w:type="page"/>
      </w:r>
    </w:p>
    <w:p w:rsidR="00FB5C03" w:rsidRPr="004F2850" w:rsidRDefault="00FB5C03" w:rsidP="00FB5C03">
      <w:pPr>
        <w:pStyle w:val="ListParagraph"/>
        <w:numPr>
          <w:ilvl w:val="0"/>
          <w:numId w:val="8"/>
        </w:numPr>
        <w:rPr>
          <w:b/>
        </w:rPr>
      </w:pPr>
      <w:r>
        <w:rPr>
          <w:b/>
        </w:rPr>
        <w:lastRenderedPageBreak/>
        <w:t>Growth Rates</w:t>
      </w:r>
    </w:p>
    <w:p w:rsidR="00FB5C03" w:rsidRPr="002E0A5E" w:rsidRDefault="00FB5C03" w:rsidP="00FB5C03">
      <w:pPr>
        <w:pStyle w:val="ListParagraph"/>
        <w:numPr>
          <w:ilvl w:val="1"/>
          <w:numId w:val="8"/>
        </w:numPr>
        <w:rPr>
          <w:b/>
        </w:rPr>
      </w:pPr>
      <w:r>
        <w:t>Supplied by growth committee (Tom Shanley, MI) for 2017, 2018, 2019, 2020, 2023, 2025, 2028, and 2030.  File named, "CONUSv2.5L2_ertac_growth_rates.xlsx" and in email dated 10/10/2016 from Tom to D. McLeod</w:t>
      </w:r>
    </w:p>
    <w:p w:rsidR="00FB5C03" w:rsidRPr="002E0A5E" w:rsidRDefault="00FB5C03" w:rsidP="00FB5C03">
      <w:pPr>
        <w:pStyle w:val="ListParagraph"/>
        <w:numPr>
          <w:ilvl w:val="1"/>
          <w:numId w:val="8"/>
        </w:numPr>
        <w:rPr>
          <w:b/>
        </w:rPr>
      </w:pPr>
      <w:r>
        <w:t xml:space="preserve">Changed peak growth rates for all years for SRVC to the following based on maximum capacity of the system in the </w:t>
      </w:r>
      <w:proofErr w:type="spellStart"/>
      <w:r>
        <w:t>outyears</w:t>
      </w:r>
      <w:proofErr w:type="spellEnd"/>
      <w:r>
        <w:t>:</w:t>
      </w:r>
    </w:p>
    <w:p w:rsidR="00FB5C03" w:rsidRPr="002E0A5E" w:rsidRDefault="00FB5C03" w:rsidP="00FB5C03">
      <w:pPr>
        <w:pStyle w:val="ListParagraph"/>
        <w:numPr>
          <w:ilvl w:val="2"/>
          <w:numId w:val="8"/>
        </w:numPr>
        <w:rPr>
          <w:b/>
        </w:rPr>
      </w:pPr>
      <w:r>
        <w:t>Coal:  0.96</w:t>
      </w:r>
    </w:p>
    <w:p w:rsidR="00FB5C03" w:rsidRPr="003C692A" w:rsidRDefault="00FB5C03" w:rsidP="00FB5C03">
      <w:pPr>
        <w:pStyle w:val="ListParagraph"/>
        <w:numPr>
          <w:ilvl w:val="2"/>
          <w:numId w:val="8"/>
        </w:numPr>
        <w:rPr>
          <w:b/>
        </w:rPr>
      </w:pPr>
      <w:r>
        <w:t>Boiler Gas:  3.0</w:t>
      </w:r>
    </w:p>
    <w:p w:rsidR="00FB5C03" w:rsidRPr="00996826" w:rsidRDefault="00FB5C03" w:rsidP="00FB5C03">
      <w:pPr>
        <w:pStyle w:val="ListParagraph"/>
        <w:numPr>
          <w:ilvl w:val="1"/>
          <w:numId w:val="8"/>
        </w:numPr>
        <w:rPr>
          <w:b/>
        </w:rPr>
      </w:pPr>
      <w:r>
        <w:t>For 2020 and 2025, for SRVC and NYCW, interpolated the growth rates from submitted data for 2019 and 2023 (for 2020) and 2023 and 2028 (for 2025).</w:t>
      </w:r>
    </w:p>
    <w:p w:rsidR="00FB5C03" w:rsidRDefault="00FB5C03" w:rsidP="00FB5C03">
      <w:pPr>
        <w:pStyle w:val="ListParagraph"/>
        <w:numPr>
          <w:ilvl w:val="0"/>
          <w:numId w:val="8"/>
        </w:numPr>
        <w:rPr>
          <w:b/>
        </w:rPr>
      </w:pPr>
      <w:r>
        <w:rPr>
          <w:b/>
        </w:rPr>
        <w:t>NonCAMD Hourly File</w:t>
      </w:r>
    </w:p>
    <w:p w:rsidR="00FB5C03" w:rsidRPr="0027581D" w:rsidRDefault="00FB5C03" w:rsidP="00FB5C03">
      <w:pPr>
        <w:pStyle w:val="ListParagraph"/>
        <w:numPr>
          <w:ilvl w:val="1"/>
          <w:numId w:val="8"/>
        </w:numPr>
        <w:rPr>
          <w:b/>
        </w:rPr>
      </w:pPr>
      <w:r>
        <w:t xml:space="preserve">Added hourly data for AES Shady Point, 10671, Units 1A, 1B, 2A and 2B.  Used supplied heat input data and supplied emission factors of 0.21, 0.17, 0.19 and 0.17 lbs </w:t>
      </w:r>
      <w:r w:rsidRPr="00AD4426">
        <w:t>NO</w:t>
      </w:r>
      <w:r w:rsidRPr="00AD4426">
        <w:rPr>
          <w:vertAlign w:val="subscript"/>
        </w:rPr>
        <w:t>X</w:t>
      </w:r>
      <w:r w:rsidRPr="00AD4426">
        <w:t xml:space="preserve"> </w:t>
      </w:r>
      <w:r>
        <w:t>/mmbtu, respectively.  Data supplied by Tom Richardson, OK.</w:t>
      </w:r>
    </w:p>
    <w:p w:rsidR="00FB5C03" w:rsidRPr="006236E8" w:rsidRDefault="00FB5C03" w:rsidP="00FB5C03">
      <w:pPr>
        <w:pStyle w:val="ListParagraph"/>
        <w:numPr>
          <w:ilvl w:val="1"/>
          <w:numId w:val="8"/>
        </w:numPr>
        <w:rPr>
          <w:b/>
        </w:rPr>
      </w:pPr>
      <w:r>
        <w:t>I also deleted out some extraneous headers.</w:t>
      </w:r>
    </w:p>
    <w:p w:rsidR="00FB5C03" w:rsidRDefault="00FB5C03" w:rsidP="00FB5C03">
      <w:pPr>
        <w:pStyle w:val="ListParagraph"/>
        <w:numPr>
          <w:ilvl w:val="0"/>
          <w:numId w:val="8"/>
        </w:numPr>
        <w:rPr>
          <w:b/>
        </w:rPr>
      </w:pPr>
      <w:proofErr w:type="spellStart"/>
      <w:r>
        <w:rPr>
          <w:b/>
        </w:rPr>
        <w:t>State_Total_Listing</w:t>
      </w:r>
      <w:proofErr w:type="spellEnd"/>
      <w:r>
        <w:rPr>
          <w:b/>
        </w:rPr>
        <w:t xml:space="preserve"> File</w:t>
      </w:r>
    </w:p>
    <w:p w:rsidR="00FB5C03" w:rsidRPr="003A1215" w:rsidRDefault="00FB5C03" w:rsidP="00FB5C03">
      <w:pPr>
        <w:pStyle w:val="ListParagraph"/>
        <w:numPr>
          <w:ilvl w:val="1"/>
          <w:numId w:val="8"/>
        </w:numPr>
        <w:rPr>
          <w:b/>
        </w:rPr>
      </w:pPr>
      <w:r>
        <w:t>Updated the information to reflect the final CSAPR rule (Table VII.D-1, 81 FR 74562, published 10-26-2016.  I used the assurance levels.</w:t>
      </w:r>
    </w:p>
    <w:p w:rsidR="00FB5C03" w:rsidRPr="006236E8" w:rsidRDefault="00FB5C03" w:rsidP="00FB5C03">
      <w:pPr>
        <w:pStyle w:val="ListParagraph"/>
        <w:numPr>
          <w:ilvl w:val="1"/>
          <w:numId w:val="8"/>
        </w:numPr>
        <w:rPr>
          <w:b/>
        </w:rPr>
      </w:pPr>
      <w:r>
        <w:t>Deleted NC since they were not listed.</w:t>
      </w:r>
    </w:p>
    <w:p w:rsidR="00FB5C03" w:rsidRPr="00010162" w:rsidRDefault="00FB5C03" w:rsidP="00FB5C03">
      <w:pPr>
        <w:pStyle w:val="ListParagraph"/>
        <w:numPr>
          <w:ilvl w:val="1"/>
          <w:numId w:val="8"/>
        </w:numPr>
        <w:rPr>
          <w:b/>
        </w:rPr>
      </w:pPr>
      <w:r>
        <w:t>For Arkansas, which was the only state to receive a 2017 and 2018 budget, I used the same assurance delta for both years, since the assurance level for 2018 was not specifically listed in the table.  The delta was 2,530 tons.  The budget for 2017 was 12,048, and the 2017 assurance level was 14,578.  The budget for 2018 was 9,210, and the assurance level I used was 9,210+2,530=11,740 tons.</w:t>
      </w:r>
    </w:p>
    <w:p w:rsidR="00FB5C03" w:rsidRDefault="00FB5C03" w:rsidP="00FB5C03">
      <w:pPr>
        <w:pStyle w:val="ListParagraph"/>
        <w:numPr>
          <w:ilvl w:val="0"/>
          <w:numId w:val="8"/>
        </w:numPr>
        <w:rPr>
          <w:b/>
        </w:rPr>
      </w:pPr>
      <w:proofErr w:type="spellStart"/>
      <w:r>
        <w:rPr>
          <w:b/>
        </w:rPr>
        <w:t>Group_Total_Listing</w:t>
      </w:r>
      <w:proofErr w:type="spellEnd"/>
      <w:r>
        <w:rPr>
          <w:b/>
        </w:rPr>
        <w:t xml:space="preserve"> file</w:t>
      </w:r>
    </w:p>
    <w:p w:rsidR="00FB5C03" w:rsidRPr="00010162" w:rsidRDefault="00FB5C03" w:rsidP="00FB5C03">
      <w:pPr>
        <w:pStyle w:val="ListParagraph"/>
        <w:numPr>
          <w:ilvl w:val="1"/>
          <w:numId w:val="8"/>
        </w:numPr>
        <w:rPr>
          <w:b/>
        </w:rPr>
      </w:pPr>
      <w:r>
        <w:t>Updated the information to reflect the final CSAPR rule (Table VII.D-1, 81 FR 74562, published 10-26-2016.</w:t>
      </w:r>
    </w:p>
    <w:p w:rsidR="00FB5C03" w:rsidRPr="006236E8" w:rsidRDefault="00FB5C03" w:rsidP="00FB5C03">
      <w:pPr>
        <w:pStyle w:val="ListParagraph"/>
        <w:numPr>
          <w:ilvl w:val="1"/>
          <w:numId w:val="8"/>
        </w:numPr>
        <w:rPr>
          <w:b/>
        </w:rPr>
      </w:pPr>
      <w:r>
        <w:t>Deleted NC since they were not listed.</w:t>
      </w:r>
    </w:p>
    <w:p w:rsidR="00FB5C03" w:rsidRPr="00010162" w:rsidRDefault="00FB5C03" w:rsidP="00FB5C03">
      <w:pPr>
        <w:pStyle w:val="ListParagraph"/>
        <w:numPr>
          <w:ilvl w:val="1"/>
          <w:numId w:val="8"/>
        </w:numPr>
        <w:rPr>
          <w:b/>
        </w:rPr>
      </w:pPr>
      <w:r>
        <w:t xml:space="preserve">Arkansas received a 2017 and 2018 budget, so I included a 2018 overall budget as well.  The 2018 total budget is the 2017 budget but reduced by the amount Arkansas' budget was reduced between 2018 and 2018 (2,838 tons).  This reduced the total annual budget from 316,464 tin 2017 to 313,626 in 2018.  </w:t>
      </w:r>
    </w:p>
    <w:p w:rsidR="00FB5C03" w:rsidRPr="00FB5C03" w:rsidRDefault="00FB5C03" w:rsidP="005B201C">
      <w:pPr>
        <w:pStyle w:val="ListParagraph"/>
        <w:rPr>
          <w:b/>
        </w:rPr>
      </w:pPr>
      <w:r>
        <w:rPr>
          <w:noProof/>
        </w:rPr>
        <mc:AlternateContent>
          <mc:Choice Requires="wps">
            <w:drawing>
              <wp:anchor distT="0" distB="0" distL="114300" distR="114300" simplePos="0" relativeHeight="251662336" behindDoc="0" locked="0" layoutInCell="1" allowOverlap="1" wp14:anchorId="21D444AB" wp14:editId="675B0D37">
                <wp:simplePos x="0" y="0"/>
                <wp:positionH relativeFrom="column">
                  <wp:posOffset>47624</wp:posOffset>
                </wp:positionH>
                <wp:positionV relativeFrom="paragraph">
                  <wp:posOffset>65405</wp:posOffset>
                </wp:positionV>
                <wp:extent cx="6010275" cy="0"/>
                <wp:effectExtent l="0" t="19050" r="9525" b="19050"/>
                <wp:wrapNone/>
                <wp:docPr id="4" name="Straight Connector 4"/>
                <wp:cNvGraphicFramePr/>
                <a:graphic xmlns:a="http://schemas.openxmlformats.org/drawingml/2006/main">
                  <a:graphicData uri="http://schemas.microsoft.com/office/word/2010/wordprocessingShape">
                    <wps:wsp>
                      <wps:cNvCnPr/>
                      <wps:spPr>
                        <a:xfrm>
                          <a:off x="0" y="0"/>
                          <a:ext cx="60102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75pt,5.15pt" to="47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DRowgEAANQDAAAOAAAAZHJzL2Uyb0RvYy54bWysU8tu2zAQvBfoPxC815LcNA0Eyzk4SC9F&#10;azTJBzDU0iLAF5aMJf99l7StBE2BokEuFMmdmd1ZrlbXkzVsDxi1dx1vFjVn4KTvtdt1/OH+9tMV&#10;ZzEJ1wvjHXT8AJFfrz9+WI2hhaUfvOkBGYm42I6h40NKoa2qKAewIi58AEdB5dGKREfcVT2KkdSt&#10;qZZ1fVmNHvuAXkKMdHtzDPJ10VcKZPqpVITETMeptlRWLOtjXqv1SrQ7FGHQ8lSGeEMVVmhHSWep&#10;G5EEe0L9SspqiT56lRbS28orpSUUD+Smqf9wczeIAMULNSeGuU3x/WTlj/0Wme47fsGZE5ae6C6h&#10;0LshsY13jhrokV3kPo0htgTfuC2eTjFsMZueFNr8JTtsKr09zL2FKTFJl5dkb/n1C2fyHKueiQFj&#10;+gbesrzpuNEu2xat2H+PiZIR9AzJ18axseOfr5q6PGCVKzvWUnbpYOAI+wWKvFH2psiVqYKNQbYX&#10;NA9CSnCpyd4ogXGEzjSljZmJ9b+JJ3ymQpm4/yHPjJLZuzSTrXYe/5Y9TeeS1RFP5b/wnbePvj+U&#10;VyoBGp3i8DTmeTZfngv9+Wdc/wYAAP//AwBQSwMEFAAGAAgAAAAhAN/KAwrbAAAABwEAAA8AAABk&#10;cnMvZG93bnJldi54bWxMj81OwzAQhO9IvIO1SNyow08phDgVqkBw6IUW9byNlyQQryPbSQNPzyIO&#10;cNyZ0ew3xXJynRopxNazgfNZBoq48rbl2sDr9vHsBlRMyBY7z2TgkyIsy+OjAnPrD/xC4ybVSko4&#10;5migSanPtY5VQw7jzPfE4r354DDJGWptAx6k3HX6IsuutcOW5UODPa0aqj42gzNQuyf3nvxz2OLD&#10;bliMX6tqt26NOT2Z7u9AJZrSXxh+8AUdSmHa+4FtVJ2BxVyCImeXoMS+nV/JtP2voMtC/+cvvwEA&#10;AP//AwBQSwECLQAUAAYACAAAACEAtoM4kv4AAADhAQAAEwAAAAAAAAAAAAAAAAAAAAAAW0NvbnRl&#10;bnRfVHlwZXNdLnhtbFBLAQItABQABgAIAAAAIQA4/SH/1gAAAJQBAAALAAAAAAAAAAAAAAAAAC8B&#10;AABfcmVscy8ucmVsc1BLAQItABQABgAIAAAAIQBiBDRowgEAANQDAAAOAAAAAAAAAAAAAAAAAC4C&#10;AABkcnMvZTJvRG9jLnhtbFBLAQItABQABgAIAAAAIQDfygMK2wAAAAcBAAAPAAAAAAAAAAAAAAAA&#10;ABwEAABkcnMvZG93bnJldi54bWxQSwUGAAAAAAQABADzAAAAJAUAAAAA&#10;" strokecolor="#4579b8 [3044]" strokeweight="3pt"/>
            </w:pict>
          </mc:Fallback>
        </mc:AlternateContent>
      </w:r>
    </w:p>
    <w:p w:rsidR="00FB5C03" w:rsidRPr="00ED532F" w:rsidRDefault="00FB5C03" w:rsidP="00FB5C03">
      <w:pPr>
        <w:rPr>
          <w:b/>
          <w:sz w:val="28"/>
          <w:szCs w:val="28"/>
        </w:rPr>
      </w:pPr>
      <w:r w:rsidRPr="00ED532F">
        <w:rPr>
          <w:b/>
          <w:sz w:val="28"/>
          <w:szCs w:val="28"/>
        </w:rPr>
        <w:t>Changes and Updates from 2.</w:t>
      </w:r>
      <w:r>
        <w:rPr>
          <w:b/>
          <w:sz w:val="28"/>
          <w:szCs w:val="28"/>
        </w:rPr>
        <w:t xml:space="preserve">5 </w:t>
      </w:r>
      <w:r w:rsidRPr="00ED532F">
        <w:rPr>
          <w:b/>
          <w:sz w:val="28"/>
          <w:szCs w:val="28"/>
        </w:rPr>
        <w:t>to 2.5</w:t>
      </w:r>
      <w:r>
        <w:rPr>
          <w:b/>
          <w:sz w:val="28"/>
          <w:szCs w:val="28"/>
        </w:rPr>
        <w:t>L2</w:t>
      </w:r>
      <w:r w:rsidRPr="00ED532F">
        <w:rPr>
          <w:b/>
          <w:sz w:val="28"/>
          <w:szCs w:val="28"/>
        </w:rPr>
        <w:t>:</w:t>
      </w:r>
    </w:p>
    <w:p w:rsidR="00FB5C03" w:rsidRPr="00ED532F" w:rsidRDefault="00FB5C03" w:rsidP="00FB5C03">
      <w:pPr>
        <w:pStyle w:val="ListParagraph"/>
        <w:numPr>
          <w:ilvl w:val="0"/>
          <w:numId w:val="8"/>
        </w:numPr>
        <w:rPr>
          <w:b/>
        </w:rPr>
      </w:pPr>
      <w:r w:rsidRPr="00DC7223">
        <w:rPr>
          <w:b/>
        </w:rPr>
        <w:t xml:space="preserve">UAF </w:t>
      </w:r>
      <w:r w:rsidRPr="00DC7223">
        <w:t xml:space="preserve"> </w:t>
      </w:r>
    </w:p>
    <w:p w:rsidR="00FB5C03" w:rsidRPr="007F0612" w:rsidRDefault="00FB5C03" w:rsidP="00FB5C03">
      <w:pPr>
        <w:pStyle w:val="ListParagraph"/>
        <w:numPr>
          <w:ilvl w:val="1"/>
          <w:numId w:val="8"/>
        </w:numPr>
        <w:rPr>
          <w:b/>
        </w:rPr>
      </w:pPr>
      <w:r>
        <w:t>TN units ORIS 3393, Allen, Units 1-3:  Added retirement date of 12/31/2018 per email dated July 13, 2016 from Joshua Bartlett, TN DEP.</w:t>
      </w:r>
    </w:p>
    <w:p w:rsidR="00FB5C03" w:rsidRPr="00AF6AED" w:rsidRDefault="00FB5C03" w:rsidP="00FB5C03">
      <w:pPr>
        <w:pStyle w:val="ListParagraph"/>
        <w:numPr>
          <w:ilvl w:val="1"/>
          <w:numId w:val="8"/>
        </w:numPr>
        <w:rPr>
          <w:b/>
        </w:rPr>
      </w:pPr>
      <w:r>
        <w:t xml:space="preserve">MA units ORIS 1626 Salem Harbor Unit IDs N25001 and N25002:  these new units had a start date of 6/1/2016.  The start date for both units was revised to </w:t>
      </w:r>
      <w:r>
        <w:lastRenderedPageBreak/>
        <w:t>6/1/2017 based on information from Marc Cohen, MA DEP.  Email dated 8/8/2016 to Wendy Jacobs.</w:t>
      </w:r>
    </w:p>
    <w:p w:rsidR="00FB5C03" w:rsidRPr="00EC720A" w:rsidRDefault="00FB5C03" w:rsidP="00FB5C03">
      <w:pPr>
        <w:pStyle w:val="ListParagraph"/>
        <w:numPr>
          <w:ilvl w:val="1"/>
          <w:numId w:val="8"/>
        </w:numPr>
        <w:rPr>
          <w:b/>
        </w:rPr>
      </w:pPr>
      <w:r>
        <w:t>NJ units ORIS codes updated for the following units (Adam Lewis):</w:t>
      </w:r>
    </w:p>
    <w:p w:rsidR="00FB5C03" w:rsidRPr="00EC720A" w:rsidRDefault="00FB5C03" w:rsidP="00FB5C03">
      <w:pPr>
        <w:pStyle w:val="ListParagraph"/>
        <w:numPr>
          <w:ilvl w:val="2"/>
          <w:numId w:val="8"/>
        </w:numPr>
        <w:rPr>
          <w:b/>
        </w:rPr>
      </w:pPr>
      <w:r>
        <w:t>Hess Newark Energy Center:  Temporary ORIS=993402, Actual ORIS = 58079</w:t>
      </w:r>
    </w:p>
    <w:p w:rsidR="00FB5C03" w:rsidRPr="00EC720A" w:rsidRDefault="00FB5C03" w:rsidP="00FB5C03">
      <w:pPr>
        <w:pStyle w:val="ListParagraph"/>
        <w:numPr>
          <w:ilvl w:val="2"/>
          <w:numId w:val="8"/>
        </w:numPr>
        <w:rPr>
          <w:b/>
        </w:rPr>
      </w:pPr>
      <w:r>
        <w:t>Woodbridge Energy Center:  Temporary ORIS=993403, Actual ORIS=57839</w:t>
      </w:r>
    </w:p>
    <w:p w:rsidR="00FB5C03" w:rsidRPr="008F2D9F" w:rsidRDefault="00FB5C03" w:rsidP="00FB5C03">
      <w:pPr>
        <w:pStyle w:val="ListParagraph"/>
        <w:numPr>
          <w:ilvl w:val="1"/>
          <w:numId w:val="8"/>
        </w:numPr>
        <w:rPr>
          <w:b/>
        </w:rPr>
      </w:pPr>
      <w:r>
        <w:t>OH Units</w:t>
      </w:r>
    </w:p>
    <w:p w:rsidR="00FB5C03" w:rsidRPr="008F2D9F" w:rsidRDefault="00FB5C03" w:rsidP="00FB5C03">
      <w:pPr>
        <w:pStyle w:val="ListParagraph"/>
        <w:numPr>
          <w:ilvl w:val="2"/>
          <w:numId w:val="8"/>
        </w:numPr>
        <w:rPr>
          <w:b/>
        </w:rPr>
      </w:pPr>
      <w:r>
        <w:t xml:space="preserve">ORIS 2866, Unit IDs 1-4, assigned an offline_start_date of 5/1/2020 (W H </w:t>
      </w:r>
      <w:proofErr w:type="spellStart"/>
      <w:r>
        <w:t>Sammis</w:t>
      </w:r>
      <w:proofErr w:type="spellEnd"/>
      <w:r>
        <w:t xml:space="preserve"> facility) per email from Chris </w:t>
      </w:r>
      <w:proofErr w:type="spellStart"/>
      <w:r>
        <w:t>Beekman</w:t>
      </w:r>
      <w:proofErr w:type="spellEnd"/>
      <w:r>
        <w:t>, Ohio DEP, 7/25/2016</w:t>
      </w:r>
    </w:p>
    <w:p w:rsidR="00FB5C03" w:rsidRPr="00FA7C3F" w:rsidRDefault="00FB5C03" w:rsidP="00FB5C03">
      <w:pPr>
        <w:pStyle w:val="ListParagraph"/>
        <w:numPr>
          <w:ilvl w:val="1"/>
          <w:numId w:val="8"/>
        </w:numPr>
        <w:rPr>
          <w:b/>
        </w:rPr>
      </w:pPr>
      <w:r>
        <w:t>IL Units (John Welch)</w:t>
      </w:r>
    </w:p>
    <w:p w:rsidR="00FB5C03" w:rsidRPr="00ED532F" w:rsidRDefault="00FB5C03" w:rsidP="00FB5C03">
      <w:pPr>
        <w:pStyle w:val="ListParagraph"/>
        <w:numPr>
          <w:ilvl w:val="2"/>
          <w:numId w:val="8"/>
        </w:numPr>
        <w:rPr>
          <w:b/>
        </w:rPr>
      </w:pPr>
      <w:r>
        <w:t>ORIS 6017, Unit ID 2 assigned an offline_start_date of 9/31/2016</w:t>
      </w:r>
    </w:p>
    <w:p w:rsidR="00FB5C03" w:rsidRPr="00ED532F" w:rsidRDefault="00FB5C03" w:rsidP="00FB5C03">
      <w:pPr>
        <w:pStyle w:val="ListParagraph"/>
        <w:numPr>
          <w:ilvl w:val="2"/>
          <w:numId w:val="8"/>
        </w:numPr>
        <w:rPr>
          <w:b/>
        </w:rPr>
      </w:pPr>
      <w:r>
        <w:t>ORIS 889, Unit ID 1 assigned an offline_start_date of 10/31/2016</w:t>
      </w:r>
    </w:p>
    <w:p w:rsidR="00FB5C03" w:rsidRPr="00FA7C3F" w:rsidRDefault="00FB5C03" w:rsidP="00FB5C03">
      <w:pPr>
        <w:pStyle w:val="ListParagraph"/>
        <w:numPr>
          <w:ilvl w:val="2"/>
          <w:numId w:val="8"/>
        </w:numPr>
        <w:rPr>
          <w:b/>
        </w:rPr>
      </w:pPr>
      <w:r>
        <w:t>ORIS 889, Unit ID 3 assigned an offline_start_date of 3/31/2017</w:t>
      </w:r>
    </w:p>
    <w:p w:rsidR="00FB5C03" w:rsidRPr="00FA7C3F" w:rsidRDefault="00FB5C03" w:rsidP="00FB5C03">
      <w:pPr>
        <w:pStyle w:val="ListParagraph"/>
        <w:numPr>
          <w:ilvl w:val="1"/>
          <w:numId w:val="8"/>
        </w:numPr>
        <w:rPr>
          <w:b/>
        </w:rPr>
      </w:pPr>
      <w:r>
        <w:t>MI Units (Tom Shanley)</w:t>
      </w:r>
    </w:p>
    <w:p w:rsidR="00FB5C03" w:rsidRPr="00FA7C3F" w:rsidRDefault="00FB5C03" w:rsidP="00FB5C03">
      <w:pPr>
        <w:pStyle w:val="ListParagraph"/>
        <w:numPr>
          <w:ilvl w:val="2"/>
          <w:numId w:val="8"/>
        </w:numPr>
        <w:rPr>
          <w:b/>
        </w:rPr>
      </w:pPr>
      <w:r>
        <w:t>ORIS 1740, Units 2 and 3 assigned offline_start_date of 2016 and 2021, respectively</w:t>
      </w:r>
    </w:p>
    <w:p w:rsidR="00FB5C03" w:rsidRPr="00FA7C3F" w:rsidRDefault="00FB5C03" w:rsidP="00FB5C03">
      <w:pPr>
        <w:pStyle w:val="ListParagraph"/>
        <w:numPr>
          <w:ilvl w:val="2"/>
          <w:numId w:val="8"/>
        </w:numPr>
        <w:rPr>
          <w:b/>
        </w:rPr>
      </w:pPr>
      <w:r>
        <w:t>ORIS 1743, units 1,2,3,4,6,7 assigned offline_start_date of 2022</w:t>
      </w:r>
    </w:p>
    <w:p w:rsidR="00FB5C03" w:rsidRPr="001F136D" w:rsidRDefault="00FB5C03" w:rsidP="00FB5C03">
      <w:pPr>
        <w:pStyle w:val="ListParagraph"/>
        <w:numPr>
          <w:ilvl w:val="2"/>
          <w:numId w:val="8"/>
        </w:numPr>
        <w:rPr>
          <w:b/>
        </w:rPr>
      </w:pPr>
      <w:r>
        <w:t>ORIS 1745, unit 9A assigned offline_start_date of 2022</w:t>
      </w:r>
    </w:p>
    <w:p w:rsidR="00FB5C03" w:rsidRPr="001F136D" w:rsidRDefault="00FB5C03" w:rsidP="00FB5C03">
      <w:pPr>
        <w:pStyle w:val="ListParagraph"/>
        <w:numPr>
          <w:ilvl w:val="1"/>
          <w:numId w:val="8"/>
        </w:numPr>
        <w:rPr>
          <w:b/>
        </w:rPr>
      </w:pPr>
      <w:r>
        <w:t>CT Units for Towantic Energy LLC (email from Wendy)</w:t>
      </w:r>
    </w:p>
    <w:p w:rsidR="00FB5C03" w:rsidRPr="001F136D" w:rsidRDefault="00FB5C03" w:rsidP="00FB5C03">
      <w:pPr>
        <w:pStyle w:val="ListParagraph"/>
        <w:numPr>
          <w:ilvl w:val="2"/>
          <w:numId w:val="8"/>
        </w:numPr>
        <w:rPr>
          <w:b/>
        </w:rPr>
      </w:pPr>
      <w:r>
        <w:t>ORIS 990901, Unit IDs N0901, N0902, starting in 2018.</w:t>
      </w:r>
    </w:p>
    <w:p w:rsidR="00FB5C03" w:rsidRPr="00BE6D54" w:rsidRDefault="00FB5C03" w:rsidP="00FB5C03">
      <w:pPr>
        <w:pStyle w:val="ListParagraph"/>
        <w:numPr>
          <w:ilvl w:val="2"/>
          <w:numId w:val="8"/>
        </w:numPr>
        <w:rPr>
          <w:b/>
        </w:rPr>
      </w:pPr>
      <w:r>
        <w:t>New combined cycle operation</w:t>
      </w:r>
    </w:p>
    <w:p w:rsidR="00FB5C03" w:rsidRPr="00BE6D54" w:rsidRDefault="00FB5C03" w:rsidP="00FB5C03">
      <w:pPr>
        <w:pStyle w:val="ListParagraph"/>
        <w:numPr>
          <w:ilvl w:val="1"/>
          <w:numId w:val="8"/>
        </w:numPr>
        <w:rPr>
          <w:b/>
        </w:rPr>
      </w:pPr>
      <w:r>
        <w:t>WI Units (Bob Lopez)</w:t>
      </w:r>
    </w:p>
    <w:p w:rsidR="00FB5C03" w:rsidRPr="00BE6D54" w:rsidRDefault="00FB5C03" w:rsidP="00FB5C03">
      <w:pPr>
        <w:pStyle w:val="ListParagraph"/>
        <w:numPr>
          <w:ilvl w:val="2"/>
          <w:numId w:val="8"/>
        </w:numPr>
        <w:rPr>
          <w:b/>
        </w:rPr>
      </w:pPr>
      <w:r>
        <w:t>Added N55001 and N55002 to Riverside (ORIS 55641), as combined cycles, 7000 btu/</w:t>
      </w:r>
      <w:proofErr w:type="spellStart"/>
      <w:r>
        <w:t>kw-hr</w:t>
      </w:r>
      <w:proofErr w:type="spellEnd"/>
      <w:r>
        <w:t>, 350 MW, 2450 mmbtu/hr.</w:t>
      </w:r>
    </w:p>
    <w:p w:rsidR="00FB5C03" w:rsidRPr="00BE6D54" w:rsidRDefault="00FB5C03" w:rsidP="00FB5C03">
      <w:pPr>
        <w:pStyle w:val="ListParagraph"/>
        <w:numPr>
          <w:ilvl w:val="1"/>
          <w:numId w:val="8"/>
        </w:numPr>
        <w:rPr>
          <w:b/>
        </w:rPr>
      </w:pPr>
      <w:r>
        <w:t>IA Units (Bob Lopez)</w:t>
      </w:r>
    </w:p>
    <w:p w:rsidR="00FB5C03" w:rsidRPr="006832F6" w:rsidRDefault="00FB5C03" w:rsidP="00FB5C03">
      <w:pPr>
        <w:pStyle w:val="ListParagraph"/>
        <w:numPr>
          <w:ilvl w:val="2"/>
          <w:numId w:val="8"/>
        </w:numPr>
        <w:rPr>
          <w:b/>
        </w:rPr>
      </w:pPr>
      <w:r>
        <w:t>Updated new Marshalltown CTs (ORIS 1068) to 325 MW (2275 mmbtu/</w:t>
      </w:r>
      <w:proofErr w:type="spellStart"/>
      <w:r>
        <w:t>hr</w:t>
      </w:r>
      <w:proofErr w:type="spellEnd"/>
      <w:r>
        <w:t xml:space="preserve"> @ 7000 btu/</w:t>
      </w:r>
      <w:proofErr w:type="spellStart"/>
      <w:r>
        <w:t>kw-hr</w:t>
      </w:r>
      <w:proofErr w:type="spellEnd"/>
      <w:r>
        <w:t>)</w:t>
      </w:r>
    </w:p>
    <w:p w:rsidR="00FB5C03" w:rsidRPr="00FA7C3F" w:rsidRDefault="00FB5C03" w:rsidP="00FB5C03">
      <w:pPr>
        <w:pStyle w:val="ListParagraph"/>
        <w:numPr>
          <w:ilvl w:val="1"/>
          <w:numId w:val="8"/>
        </w:numPr>
        <w:rPr>
          <w:b/>
        </w:rPr>
      </w:pPr>
      <w:r>
        <w:t xml:space="preserve">Units listed in the nonCAMD hourly file as having one hour of data supplied due to the no hourly data bug also had an optimal load threshold, nominal heat rate, and UF state input supplied.  Almost all had those anyway.  </w:t>
      </w:r>
    </w:p>
    <w:p w:rsidR="00FB5C03" w:rsidRPr="00A12BB9" w:rsidRDefault="00FB5C03" w:rsidP="00FB5C03">
      <w:pPr>
        <w:pStyle w:val="ListParagraph"/>
        <w:numPr>
          <w:ilvl w:val="1"/>
          <w:numId w:val="8"/>
        </w:numPr>
        <w:rPr>
          <w:b/>
        </w:rPr>
      </w:pPr>
      <w:r>
        <w:t>For the following coal to boiler-gas units in RFCE, from Randy Bordner (PA Units) and Judy Rand/Adam Lewis (NJ Units):</w:t>
      </w:r>
    </w:p>
    <w:p w:rsidR="00FB5C03" w:rsidRPr="00E976C3" w:rsidRDefault="00FB5C03" w:rsidP="00FB5C03">
      <w:pPr>
        <w:pStyle w:val="ListParagraph"/>
        <w:numPr>
          <w:ilvl w:val="2"/>
          <w:numId w:val="8"/>
        </w:numPr>
        <w:rPr>
          <w:b/>
        </w:rPr>
      </w:pPr>
      <w:r>
        <w:t>Max UF of 0.3 added to coal line item Brunner Island (PA)</w:t>
      </w:r>
    </w:p>
    <w:p w:rsidR="00FB5C03" w:rsidRPr="002B7588" w:rsidRDefault="00FB5C03" w:rsidP="00FB5C03">
      <w:pPr>
        <w:pStyle w:val="ListParagraph"/>
        <w:numPr>
          <w:ilvl w:val="2"/>
          <w:numId w:val="8"/>
        </w:numPr>
        <w:rPr>
          <w:b/>
        </w:rPr>
      </w:pPr>
      <w:r>
        <w:t>Max UF of 0.6 added to coal line items for New Castle and Shawville (PA)</w:t>
      </w:r>
    </w:p>
    <w:p w:rsidR="00FB5C03" w:rsidRPr="002B7588" w:rsidRDefault="00FB5C03" w:rsidP="00FB5C03">
      <w:pPr>
        <w:pStyle w:val="ListParagraph"/>
        <w:numPr>
          <w:ilvl w:val="2"/>
          <w:numId w:val="8"/>
        </w:numPr>
        <w:rPr>
          <w:b/>
        </w:rPr>
      </w:pPr>
      <w:r>
        <w:t>For the NJ coal units, the following UFs were assigned:</w:t>
      </w:r>
    </w:p>
    <w:p w:rsidR="00FB5C03" w:rsidRPr="002B7588" w:rsidRDefault="00FB5C03" w:rsidP="00FB5C03">
      <w:pPr>
        <w:pStyle w:val="ListParagraph"/>
        <w:numPr>
          <w:ilvl w:val="3"/>
          <w:numId w:val="8"/>
        </w:numPr>
        <w:rPr>
          <w:b/>
        </w:rPr>
      </w:pPr>
      <w:r>
        <w:t>Hudson 2=0.16</w:t>
      </w:r>
    </w:p>
    <w:p w:rsidR="00FB5C03" w:rsidRPr="002B7588" w:rsidRDefault="00FB5C03" w:rsidP="00FB5C03">
      <w:pPr>
        <w:pStyle w:val="ListParagraph"/>
        <w:numPr>
          <w:ilvl w:val="3"/>
          <w:numId w:val="8"/>
        </w:numPr>
        <w:rPr>
          <w:b/>
        </w:rPr>
      </w:pPr>
      <w:r>
        <w:t>Mercer 1=0.09</w:t>
      </w:r>
    </w:p>
    <w:p w:rsidR="00FB5C03" w:rsidRPr="00A12BB9" w:rsidRDefault="00FB5C03" w:rsidP="00FB5C03">
      <w:pPr>
        <w:pStyle w:val="ListParagraph"/>
        <w:numPr>
          <w:ilvl w:val="3"/>
          <w:numId w:val="8"/>
        </w:numPr>
        <w:rPr>
          <w:b/>
        </w:rPr>
      </w:pPr>
      <w:r>
        <w:t>Mercer 2=0.08</w:t>
      </w:r>
    </w:p>
    <w:p w:rsidR="00FB5C03" w:rsidRPr="00A12BB9" w:rsidRDefault="00FB5C03" w:rsidP="00FB5C03">
      <w:pPr>
        <w:pStyle w:val="ListParagraph"/>
        <w:numPr>
          <w:ilvl w:val="2"/>
          <w:numId w:val="8"/>
        </w:numPr>
        <w:rPr>
          <w:b/>
        </w:rPr>
      </w:pPr>
      <w:r>
        <w:lastRenderedPageBreak/>
        <w:t>Boiler gas line item deleted</w:t>
      </w:r>
    </w:p>
    <w:p w:rsidR="00FB5C03" w:rsidRPr="00A12BB9" w:rsidRDefault="00FB5C03" w:rsidP="00FB5C03">
      <w:pPr>
        <w:pStyle w:val="ListParagraph"/>
        <w:numPr>
          <w:ilvl w:val="2"/>
          <w:numId w:val="8"/>
        </w:numPr>
        <w:rPr>
          <w:b/>
        </w:rPr>
      </w:pPr>
      <w:r>
        <w:t>Coal line item had offline_start_date set to 2050</w:t>
      </w:r>
    </w:p>
    <w:p w:rsidR="00FB5C03" w:rsidRPr="00A12BB9" w:rsidRDefault="00FB5C03" w:rsidP="00FB5C03">
      <w:pPr>
        <w:pStyle w:val="ListParagraph"/>
        <w:numPr>
          <w:ilvl w:val="2"/>
          <w:numId w:val="8"/>
        </w:numPr>
        <w:rPr>
          <w:b/>
        </w:rPr>
      </w:pPr>
      <w:r>
        <w:t>The purpose of these changes was to run the RFCE coal system with the boiler gas units included to capture boiler gas peak operations and to prevent GDUs.</w:t>
      </w:r>
    </w:p>
    <w:tbl>
      <w:tblPr>
        <w:tblW w:w="0" w:type="auto"/>
        <w:jc w:val="center"/>
        <w:tblCellMar>
          <w:left w:w="0" w:type="dxa"/>
          <w:right w:w="0" w:type="dxa"/>
        </w:tblCellMar>
        <w:tblLook w:val="04A0" w:firstRow="1" w:lastRow="0" w:firstColumn="1" w:lastColumn="0" w:noHBand="0" w:noVBand="1"/>
      </w:tblPr>
      <w:tblGrid>
        <w:gridCol w:w="803"/>
        <w:gridCol w:w="1180"/>
        <w:gridCol w:w="3880"/>
      </w:tblGrid>
      <w:tr w:rsidR="00FB5C03" w:rsidTr="001C724E">
        <w:trPr>
          <w:cantSplit/>
          <w:trHeight w:val="485"/>
          <w:tblHeader/>
          <w:jc w:val="center"/>
        </w:trPr>
        <w:tc>
          <w:tcPr>
            <w:tcW w:w="80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B5C03" w:rsidRDefault="00FB5C03" w:rsidP="001C724E">
            <w:pPr>
              <w:rPr>
                <w:rFonts w:ascii="Calibri" w:hAnsi="Calibri"/>
                <w:b/>
                <w:bCs/>
                <w:color w:val="1F497D"/>
                <w:sz w:val="22"/>
              </w:rPr>
            </w:pPr>
            <w:r>
              <w:rPr>
                <w:b/>
                <w:bCs/>
                <w:color w:val="1F497D"/>
              </w:rPr>
              <w:t>ORIS</w:t>
            </w:r>
          </w:p>
        </w:tc>
        <w:tc>
          <w:tcPr>
            <w:tcW w:w="11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B5C03" w:rsidRDefault="00FB5C03" w:rsidP="001C724E">
            <w:pPr>
              <w:rPr>
                <w:rFonts w:ascii="Calibri" w:hAnsi="Calibri"/>
                <w:b/>
                <w:bCs/>
                <w:color w:val="1F497D"/>
                <w:sz w:val="22"/>
              </w:rPr>
            </w:pPr>
            <w:r>
              <w:rPr>
                <w:b/>
                <w:bCs/>
                <w:color w:val="1F497D"/>
              </w:rPr>
              <w:t>Unit ID</w:t>
            </w:r>
          </w:p>
        </w:tc>
        <w:tc>
          <w:tcPr>
            <w:tcW w:w="38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B5C03" w:rsidRPr="002B7588" w:rsidRDefault="00FB5C03" w:rsidP="001C724E">
            <w:pPr>
              <w:rPr>
                <w:b/>
                <w:bCs/>
                <w:color w:val="1F497D"/>
              </w:rPr>
            </w:pPr>
            <w:r>
              <w:rPr>
                <w:b/>
                <w:bCs/>
                <w:color w:val="1F497D"/>
              </w:rPr>
              <w:t>Facility</w:t>
            </w:r>
          </w:p>
        </w:tc>
      </w:tr>
      <w:tr w:rsidR="00FB5C03" w:rsidTr="001C724E">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2403</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2</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Hudson Generating Station</w:t>
            </w:r>
          </w:p>
        </w:tc>
      </w:tr>
      <w:tr w:rsidR="00FB5C03" w:rsidTr="001C724E">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2408</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1</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Mercer Generating Station</w:t>
            </w:r>
          </w:p>
        </w:tc>
      </w:tr>
      <w:tr w:rsidR="00FB5C03" w:rsidTr="001C724E">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2408</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2</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Mercer Generating Station</w:t>
            </w:r>
          </w:p>
        </w:tc>
      </w:tr>
      <w:tr w:rsidR="00FB5C03" w:rsidTr="001C724E">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3131</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1</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Shawville</w:t>
            </w:r>
          </w:p>
        </w:tc>
      </w:tr>
      <w:tr w:rsidR="00FB5C03" w:rsidTr="001C724E">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3131</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2</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Shawville</w:t>
            </w:r>
          </w:p>
        </w:tc>
      </w:tr>
      <w:tr w:rsidR="00FB5C03" w:rsidTr="001C724E">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3131</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3</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Shawville</w:t>
            </w:r>
          </w:p>
        </w:tc>
      </w:tr>
      <w:tr w:rsidR="00FB5C03" w:rsidTr="001C724E">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3131</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4</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Shawville</w:t>
            </w:r>
          </w:p>
        </w:tc>
      </w:tr>
      <w:tr w:rsidR="00FB5C03" w:rsidTr="001C724E">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3138</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rFonts w:ascii="Calibri" w:hAnsi="Calibri"/>
                <w:color w:val="1F497D"/>
                <w:sz w:val="22"/>
              </w:rPr>
              <w:t>3</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New Castle</w:t>
            </w:r>
          </w:p>
        </w:tc>
      </w:tr>
      <w:tr w:rsidR="00FB5C03" w:rsidTr="001C724E">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3138</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4</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New Castle</w:t>
            </w:r>
          </w:p>
        </w:tc>
      </w:tr>
      <w:tr w:rsidR="00FB5C03" w:rsidTr="001C724E">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3138</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5</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New Castle</w:t>
            </w:r>
          </w:p>
        </w:tc>
      </w:tr>
      <w:tr w:rsidR="00FB5C03" w:rsidTr="001C724E">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3140</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1</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Brunner Island</w:t>
            </w:r>
          </w:p>
        </w:tc>
      </w:tr>
      <w:tr w:rsidR="00FB5C03" w:rsidTr="001C724E">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3140</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2</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Brunner Island</w:t>
            </w:r>
          </w:p>
        </w:tc>
      </w:tr>
      <w:tr w:rsidR="00FB5C03" w:rsidTr="001C724E">
        <w:trPr>
          <w:trHeight w:val="288"/>
          <w:jc w:val="center"/>
        </w:trPr>
        <w:tc>
          <w:tcPr>
            <w:tcW w:w="80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3140</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3</w:t>
            </w:r>
          </w:p>
        </w:tc>
        <w:tc>
          <w:tcPr>
            <w:tcW w:w="38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B5C03" w:rsidRDefault="00FB5C03" w:rsidP="001C724E">
            <w:pPr>
              <w:rPr>
                <w:rFonts w:ascii="Calibri" w:hAnsi="Calibri"/>
                <w:color w:val="1F497D"/>
                <w:sz w:val="22"/>
              </w:rPr>
            </w:pPr>
            <w:r>
              <w:rPr>
                <w:color w:val="1F497D"/>
              </w:rPr>
              <w:t>Brunner Island</w:t>
            </w:r>
          </w:p>
        </w:tc>
      </w:tr>
    </w:tbl>
    <w:p w:rsidR="00FB5C03" w:rsidRPr="00A12BB9" w:rsidRDefault="00FB5C03" w:rsidP="00FB5C03">
      <w:pPr>
        <w:pStyle w:val="ListParagraph"/>
        <w:rPr>
          <w:b/>
        </w:rPr>
      </w:pPr>
    </w:p>
    <w:p w:rsidR="00FB5C03" w:rsidRDefault="00FB5C03" w:rsidP="00FB5C03">
      <w:pPr>
        <w:pStyle w:val="ListParagraph"/>
        <w:numPr>
          <w:ilvl w:val="0"/>
          <w:numId w:val="8"/>
        </w:numPr>
        <w:rPr>
          <w:b/>
        </w:rPr>
      </w:pPr>
      <w:r w:rsidRPr="00DC7223">
        <w:rPr>
          <w:b/>
        </w:rPr>
        <w:t>Controls File</w:t>
      </w:r>
    </w:p>
    <w:p w:rsidR="00FB5C03" w:rsidRPr="00F13BE9" w:rsidRDefault="00FB5C03" w:rsidP="00FB5C03">
      <w:pPr>
        <w:pStyle w:val="ListParagraph"/>
        <w:numPr>
          <w:ilvl w:val="1"/>
          <w:numId w:val="8"/>
        </w:numPr>
        <w:rPr>
          <w:b/>
        </w:rPr>
      </w:pPr>
      <w:r>
        <w:t>TN Units (from Joshua Bartlett, email 7/13/2016 from Joshua Bartlett of TN DEP to MARAMA regarding comments on MARAMA inventory):</w:t>
      </w:r>
    </w:p>
    <w:p w:rsidR="00FB5C03" w:rsidRPr="00F13BE9" w:rsidRDefault="00FB5C03" w:rsidP="00FB5C03">
      <w:pPr>
        <w:pStyle w:val="ListParagraph"/>
        <w:numPr>
          <w:ilvl w:val="2"/>
          <w:numId w:val="8"/>
        </w:numPr>
        <w:rPr>
          <w:b/>
        </w:rPr>
      </w:pPr>
      <w:r>
        <w:t xml:space="preserve">Changed control start date for FGD for 3403 Gallatin, Units 1-4, from 12/31/2017 to 12/31/2016.  Changed the control rate from 0.15 lbs </w:t>
      </w:r>
      <w:r w:rsidRPr="00AE2BCE">
        <w:rPr>
          <w:rFonts w:cs="Arial"/>
          <w:sz w:val="20"/>
          <w:szCs w:val="20"/>
        </w:rPr>
        <w:t>SO</w:t>
      </w:r>
      <w:r w:rsidRPr="00AE2BCE">
        <w:rPr>
          <w:rFonts w:cs="Arial"/>
          <w:sz w:val="20"/>
          <w:szCs w:val="20"/>
          <w:vertAlign w:val="subscript"/>
        </w:rPr>
        <w:t>2</w:t>
      </w:r>
      <w:r>
        <w:t xml:space="preserve">/mmbtu to 0.06 lbs </w:t>
      </w:r>
      <w:r w:rsidRPr="00AE2BCE">
        <w:rPr>
          <w:rFonts w:cs="Arial"/>
          <w:sz w:val="20"/>
          <w:szCs w:val="20"/>
        </w:rPr>
        <w:t>SO</w:t>
      </w:r>
      <w:r w:rsidRPr="00AE2BCE">
        <w:rPr>
          <w:rFonts w:cs="Arial"/>
          <w:sz w:val="20"/>
          <w:szCs w:val="20"/>
          <w:vertAlign w:val="subscript"/>
        </w:rPr>
        <w:t>2</w:t>
      </w:r>
      <w:r>
        <w:t>/mmbtu.</w:t>
      </w:r>
    </w:p>
    <w:p w:rsidR="00FB5C03" w:rsidRPr="00F13BE9" w:rsidRDefault="00FB5C03" w:rsidP="00FB5C03">
      <w:pPr>
        <w:pStyle w:val="ListParagraph"/>
        <w:numPr>
          <w:ilvl w:val="2"/>
          <w:numId w:val="8"/>
        </w:numPr>
        <w:rPr>
          <w:b/>
        </w:rPr>
      </w:pPr>
      <w:r>
        <w:t xml:space="preserve">Added controls for </w:t>
      </w:r>
      <w:r w:rsidRPr="00AE2BCE">
        <w:rPr>
          <w:rFonts w:cs="Arial"/>
          <w:sz w:val="20"/>
          <w:szCs w:val="20"/>
        </w:rPr>
        <w:t>SO</w:t>
      </w:r>
      <w:r w:rsidRPr="00AE2BCE">
        <w:rPr>
          <w:rFonts w:cs="Arial"/>
          <w:sz w:val="20"/>
          <w:szCs w:val="20"/>
          <w:vertAlign w:val="subscript"/>
        </w:rPr>
        <w:t>2</w:t>
      </w:r>
      <w:r>
        <w:t xml:space="preserve"> for Kingston, ORIS 3407, Units 1-9 equivalent to the 2015 value as listed in table below, using digits beyond the decimal.  Control start date was 1/1/2012.</w:t>
      </w:r>
    </w:p>
    <w:tbl>
      <w:tblPr>
        <w:tblStyle w:val="TableGrid"/>
        <w:tblW w:w="9037" w:type="dxa"/>
        <w:tblInd w:w="720" w:type="dxa"/>
        <w:tblLayout w:type="fixed"/>
        <w:tblLook w:val="04A0" w:firstRow="1" w:lastRow="0" w:firstColumn="1" w:lastColumn="0" w:noHBand="0" w:noVBand="1"/>
      </w:tblPr>
      <w:tblGrid>
        <w:gridCol w:w="789"/>
        <w:gridCol w:w="992"/>
        <w:gridCol w:w="1316"/>
        <w:gridCol w:w="630"/>
        <w:gridCol w:w="720"/>
        <w:gridCol w:w="1021"/>
        <w:gridCol w:w="962"/>
        <w:gridCol w:w="1257"/>
        <w:gridCol w:w="1350"/>
      </w:tblGrid>
      <w:tr w:rsidR="00FB5C03" w:rsidRPr="00F13BE9" w:rsidTr="001C724E">
        <w:trPr>
          <w:trHeight w:val="576"/>
        </w:trPr>
        <w:tc>
          <w:tcPr>
            <w:tcW w:w="789" w:type="dxa"/>
            <w:shd w:val="clear" w:color="auto" w:fill="F2F2F2" w:themeFill="background1" w:themeFillShade="F2"/>
            <w:vAlign w:val="bottom"/>
          </w:tcPr>
          <w:p w:rsidR="00FB5C03" w:rsidRPr="00F13BE9" w:rsidRDefault="00FB5C03" w:rsidP="001C724E">
            <w:pPr>
              <w:jc w:val="center"/>
              <w:rPr>
                <w:rFonts w:ascii="Calibri" w:hAnsi="Calibri"/>
                <w:color w:val="000000"/>
                <w:sz w:val="16"/>
                <w:szCs w:val="16"/>
              </w:rPr>
            </w:pPr>
            <w:r w:rsidRPr="00F13BE9">
              <w:rPr>
                <w:rFonts w:ascii="Calibri" w:hAnsi="Calibri"/>
                <w:color w:val="000000"/>
                <w:sz w:val="16"/>
                <w:szCs w:val="16"/>
              </w:rPr>
              <w:t>State</w:t>
            </w:r>
          </w:p>
        </w:tc>
        <w:tc>
          <w:tcPr>
            <w:tcW w:w="992" w:type="dxa"/>
            <w:shd w:val="clear" w:color="auto" w:fill="F2F2F2" w:themeFill="background1" w:themeFillShade="F2"/>
            <w:vAlign w:val="bottom"/>
          </w:tcPr>
          <w:p w:rsidR="00FB5C03" w:rsidRPr="00F13BE9" w:rsidRDefault="00FB5C03" w:rsidP="001C724E">
            <w:pPr>
              <w:jc w:val="center"/>
              <w:rPr>
                <w:rFonts w:ascii="Calibri" w:hAnsi="Calibri"/>
                <w:color w:val="000000"/>
                <w:sz w:val="16"/>
                <w:szCs w:val="16"/>
              </w:rPr>
            </w:pPr>
            <w:r w:rsidRPr="00F13BE9">
              <w:rPr>
                <w:rFonts w:ascii="Calibri" w:hAnsi="Calibri"/>
                <w:color w:val="000000"/>
                <w:sz w:val="16"/>
                <w:szCs w:val="16"/>
              </w:rPr>
              <w:t>Facility Name</w:t>
            </w:r>
          </w:p>
        </w:tc>
        <w:tc>
          <w:tcPr>
            <w:tcW w:w="1316" w:type="dxa"/>
            <w:shd w:val="clear" w:color="auto" w:fill="F2F2F2" w:themeFill="background1" w:themeFillShade="F2"/>
            <w:vAlign w:val="bottom"/>
          </w:tcPr>
          <w:p w:rsidR="00FB5C03" w:rsidRPr="00F13BE9" w:rsidRDefault="00FB5C03" w:rsidP="001C724E">
            <w:pPr>
              <w:jc w:val="center"/>
              <w:rPr>
                <w:rFonts w:ascii="Calibri" w:hAnsi="Calibri"/>
                <w:color w:val="000000"/>
                <w:sz w:val="16"/>
                <w:szCs w:val="16"/>
              </w:rPr>
            </w:pPr>
            <w:r w:rsidRPr="00F13BE9">
              <w:rPr>
                <w:rFonts w:ascii="Calibri" w:hAnsi="Calibri"/>
                <w:color w:val="000000"/>
                <w:sz w:val="16"/>
                <w:szCs w:val="16"/>
              </w:rPr>
              <w:t>Facility ID (</w:t>
            </w:r>
            <w:proofErr w:type="spellStart"/>
            <w:r w:rsidRPr="00F13BE9">
              <w:rPr>
                <w:rFonts w:ascii="Calibri" w:hAnsi="Calibri"/>
                <w:color w:val="000000"/>
                <w:sz w:val="16"/>
                <w:szCs w:val="16"/>
              </w:rPr>
              <w:t>ORISPL</w:t>
            </w:r>
            <w:proofErr w:type="spellEnd"/>
            <w:r w:rsidRPr="00F13BE9">
              <w:rPr>
                <w:rFonts w:ascii="Calibri" w:hAnsi="Calibri"/>
                <w:color w:val="000000"/>
                <w:sz w:val="16"/>
                <w:szCs w:val="16"/>
              </w:rPr>
              <w:t>)</w:t>
            </w:r>
          </w:p>
        </w:tc>
        <w:tc>
          <w:tcPr>
            <w:tcW w:w="630" w:type="dxa"/>
            <w:shd w:val="clear" w:color="auto" w:fill="F2F2F2" w:themeFill="background1" w:themeFillShade="F2"/>
            <w:vAlign w:val="bottom"/>
          </w:tcPr>
          <w:p w:rsidR="00FB5C03" w:rsidRPr="00F13BE9" w:rsidRDefault="00FB5C03" w:rsidP="001C724E">
            <w:pPr>
              <w:jc w:val="center"/>
              <w:rPr>
                <w:rFonts w:ascii="Calibri" w:hAnsi="Calibri"/>
                <w:color w:val="000000"/>
                <w:sz w:val="16"/>
                <w:szCs w:val="16"/>
              </w:rPr>
            </w:pPr>
            <w:r w:rsidRPr="00F13BE9">
              <w:rPr>
                <w:rFonts w:ascii="Calibri" w:hAnsi="Calibri"/>
                <w:color w:val="000000"/>
                <w:sz w:val="16"/>
                <w:szCs w:val="16"/>
              </w:rPr>
              <w:t>Unit ID</w:t>
            </w:r>
          </w:p>
        </w:tc>
        <w:tc>
          <w:tcPr>
            <w:tcW w:w="720" w:type="dxa"/>
            <w:shd w:val="clear" w:color="auto" w:fill="F2F2F2" w:themeFill="background1" w:themeFillShade="F2"/>
            <w:vAlign w:val="bottom"/>
          </w:tcPr>
          <w:p w:rsidR="00FB5C03" w:rsidRPr="00F13BE9" w:rsidRDefault="00FB5C03" w:rsidP="001C724E">
            <w:pPr>
              <w:jc w:val="center"/>
              <w:rPr>
                <w:rFonts w:ascii="Calibri" w:hAnsi="Calibri"/>
                <w:color w:val="000000"/>
                <w:sz w:val="16"/>
                <w:szCs w:val="16"/>
              </w:rPr>
            </w:pPr>
            <w:r w:rsidRPr="00F13BE9">
              <w:rPr>
                <w:rFonts w:ascii="Calibri" w:hAnsi="Calibri"/>
                <w:color w:val="000000"/>
                <w:sz w:val="16"/>
                <w:szCs w:val="16"/>
              </w:rPr>
              <w:t>Year</w:t>
            </w:r>
          </w:p>
        </w:tc>
        <w:tc>
          <w:tcPr>
            <w:tcW w:w="1021" w:type="dxa"/>
            <w:shd w:val="clear" w:color="auto" w:fill="F2F2F2" w:themeFill="background1" w:themeFillShade="F2"/>
            <w:vAlign w:val="bottom"/>
          </w:tcPr>
          <w:p w:rsidR="00FB5C03" w:rsidRPr="00F13BE9" w:rsidRDefault="00FB5C03" w:rsidP="001C724E">
            <w:pPr>
              <w:jc w:val="center"/>
              <w:rPr>
                <w:rFonts w:ascii="Calibri" w:hAnsi="Calibri"/>
                <w:color w:val="000000"/>
                <w:sz w:val="16"/>
                <w:szCs w:val="16"/>
              </w:rPr>
            </w:pPr>
            <w:r w:rsidRPr="00F13BE9">
              <w:rPr>
                <w:rFonts w:ascii="Calibri" w:hAnsi="Calibri"/>
                <w:color w:val="000000"/>
                <w:sz w:val="16"/>
                <w:szCs w:val="16"/>
              </w:rPr>
              <w:t>Program</w:t>
            </w:r>
          </w:p>
        </w:tc>
        <w:tc>
          <w:tcPr>
            <w:tcW w:w="962" w:type="dxa"/>
            <w:shd w:val="clear" w:color="auto" w:fill="F2F2F2" w:themeFill="background1" w:themeFillShade="F2"/>
            <w:vAlign w:val="bottom"/>
          </w:tcPr>
          <w:p w:rsidR="00FB5C03" w:rsidRPr="00F13BE9" w:rsidRDefault="00FB5C03" w:rsidP="001C724E">
            <w:pPr>
              <w:jc w:val="center"/>
              <w:rPr>
                <w:rFonts w:ascii="Calibri" w:hAnsi="Calibri"/>
                <w:color w:val="000000"/>
                <w:sz w:val="16"/>
                <w:szCs w:val="16"/>
              </w:rPr>
            </w:pPr>
            <w:r w:rsidRPr="00F13BE9">
              <w:rPr>
                <w:rFonts w:ascii="Calibri" w:hAnsi="Calibri"/>
                <w:color w:val="000000"/>
                <w:sz w:val="16"/>
                <w:szCs w:val="16"/>
              </w:rPr>
              <w:t>SO</w:t>
            </w:r>
            <w:r w:rsidRPr="00F13BE9">
              <w:rPr>
                <w:rFonts w:ascii="Calibri" w:hAnsi="Calibri"/>
                <w:color w:val="000000"/>
                <w:sz w:val="16"/>
                <w:szCs w:val="16"/>
                <w:vertAlign w:val="subscript"/>
              </w:rPr>
              <w:t>2</w:t>
            </w:r>
            <w:r w:rsidRPr="00F13BE9">
              <w:rPr>
                <w:rFonts w:ascii="Calibri" w:hAnsi="Calibri"/>
                <w:color w:val="000000"/>
                <w:sz w:val="16"/>
                <w:szCs w:val="16"/>
              </w:rPr>
              <w:t xml:space="preserve"> (tons)</w:t>
            </w:r>
          </w:p>
        </w:tc>
        <w:tc>
          <w:tcPr>
            <w:tcW w:w="1257" w:type="dxa"/>
            <w:shd w:val="clear" w:color="auto" w:fill="F2F2F2" w:themeFill="background1" w:themeFillShade="F2"/>
            <w:vAlign w:val="bottom"/>
          </w:tcPr>
          <w:p w:rsidR="00FB5C03" w:rsidRPr="00F13BE9" w:rsidRDefault="00FB5C03" w:rsidP="001C724E">
            <w:pPr>
              <w:jc w:val="center"/>
              <w:rPr>
                <w:rFonts w:ascii="Calibri" w:hAnsi="Calibri"/>
                <w:color w:val="000000"/>
                <w:sz w:val="16"/>
                <w:szCs w:val="16"/>
              </w:rPr>
            </w:pPr>
            <w:r w:rsidRPr="00F13BE9">
              <w:rPr>
                <w:rFonts w:ascii="Calibri" w:hAnsi="Calibri"/>
                <w:color w:val="000000"/>
                <w:sz w:val="16"/>
                <w:szCs w:val="16"/>
              </w:rPr>
              <w:t>Heat Input (</w:t>
            </w:r>
            <w:proofErr w:type="spellStart"/>
            <w:r w:rsidRPr="00F13BE9">
              <w:rPr>
                <w:rFonts w:ascii="Calibri" w:hAnsi="Calibri"/>
                <w:color w:val="000000"/>
                <w:sz w:val="16"/>
                <w:szCs w:val="16"/>
              </w:rPr>
              <w:t>MMBtu</w:t>
            </w:r>
            <w:proofErr w:type="spellEnd"/>
            <w:r w:rsidRPr="00F13BE9">
              <w:rPr>
                <w:rFonts w:ascii="Calibri" w:hAnsi="Calibri"/>
                <w:color w:val="000000"/>
                <w:sz w:val="16"/>
                <w:szCs w:val="16"/>
              </w:rPr>
              <w:t>)</w:t>
            </w:r>
          </w:p>
        </w:tc>
        <w:tc>
          <w:tcPr>
            <w:tcW w:w="1350" w:type="dxa"/>
            <w:shd w:val="clear" w:color="auto" w:fill="F2F2F2" w:themeFill="background1" w:themeFillShade="F2"/>
            <w:vAlign w:val="bottom"/>
          </w:tcPr>
          <w:p w:rsidR="00FB5C03" w:rsidRPr="00F13BE9" w:rsidRDefault="00FB5C03" w:rsidP="001C724E">
            <w:pPr>
              <w:jc w:val="center"/>
              <w:rPr>
                <w:rFonts w:ascii="Calibri" w:hAnsi="Calibri"/>
                <w:color w:val="000000"/>
                <w:sz w:val="16"/>
                <w:szCs w:val="16"/>
              </w:rPr>
            </w:pPr>
            <w:r w:rsidRPr="00F13BE9">
              <w:rPr>
                <w:rFonts w:ascii="Calibri" w:hAnsi="Calibri"/>
                <w:color w:val="000000"/>
                <w:sz w:val="16"/>
                <w:szCs w:val="16"/>
              </w:rPr>
              <w:t>SO</w:t>
            </w:r>
            <w:r w:rsidRPr="00F13BE9">
              <w:rPr>
                <w:rFonts w:ascii="Calibri" w:hAnsi="Calibri"/>
                <w:color w:val="000000"/>
                <w:sz w:val="16"/>
                <w:szCs w:val="16"/>
                <w:vertAlign w:val="subscript"/>
              </w:rPr>
              <w:t>2</w:t>
            </w:r>
            <w:r w:rsidRPr="00F13BE9">
              <w:rPr>
                <w:rFonts w:ascii="Calibri" w:hAnsi="Calibri"/>
                <w:color w:val="000000"/>
                <w:sz w:val="16"/>
                <w:szCs w:val="16"/>
              </w:rPr>
              <w:t xml:space="preserve"> Rate (</w:t>
            </w:r>
            <w:proofErr w:type="spellStart"/>
            <w:r w:rsidRPr="00F13BE9">
              <w:rPr>
                <w:rFonts w:ascii="Calibri" w:hAnsi="Calibri"/>
                <w:color w:val="000000"/>
                <w:sz w:val="16"/>
                <w:szCs w:val="16"/>
              </w:rPr>
              <w:t>lb</w:t>
            </w:r>
            <w:proofErr w:type="spellEnd"/>
            <w:r w:rsidRPr="00F13BE9">
              <w:rPr>
                <w:rFonts w:ascii="Calibri" w:hAnsi="Calibri"/>
                <w:color w:val="000000"/>
                <w:sz w:val="16"/>
                <w:szCs w:val="16"/>
              </w:rPr>
              <w:t>/</w:t>
            </w:r>
            <w:proofErr w:type="spellStart"/>
            <w:r w:rsidRPr="00F13BE9">
              <w:rPr>
                <w:rFonts w:ascii="Calibri" w:hAnsi="Calibri"/>
                <w:color w:val="000000"/>
                <w:sz w:val="16"/>
                <w:szCs w:val="16"/>
              </w:rPr>
              <w:t>MMBtu</w:t>
            </w:r>
            <w:proofErr w:type="spellEnd"/>
            <w:r w:rsidRPr="00F13BE9">
              <w:rPr>
                <w:rFonts w:ascii="Calibri" w:hAnsi="Calibri"/>
                <w:color w:val="000000"/>
                <w:sz w:val="16"/>
                <w:szCs w:val="16"/>
              </w:rPr>
              <w:t>)</w:t>
            </w:r>
          </w:p>
        </w:tc>
      </w:tr>
      <w:tr w:rsidR="00FB5C03" w:rsidRPr="00F13BE9" w:rsidTr="001C724E">
        <w:tc>
          <w:tcPr>
            <w:tcW w:w="789"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TN</w:t>
            </w:r>
          </w:p>
        </w:tc>
        <w:tc>
          <w:tcPr>
            <w:tcW w:w="992"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Kingston</w:t>
            </w:r>
          </w:p>
        </w:tc>
        <w:tc>
          <w:tcPr>
            <w:tcW w:w="1316"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3407</w:t>
            </w:r>
          </w:p>
        </w:tc>
        <w:tc>
          <w:tcPr>
            <w:tcW w:w="630"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1</w:t>
            </w:r>
          </w:p>
        </w:tc>
        <w:tc>
          <w:tcPr>
            <w:tcW w:w="720"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2015</w:t>
            </w:r>
          </w:p>
        </w:tc>
        <w:tc>
          <w:tcPr>
            <w:tcW w:w="1021"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ARP</w:t>
            </w:r>
          </w:p>
        </w:tc>
        <w:tc>
          <w:tcPr>
            <w:tcW w:w="962"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145.723</w:t>
            </w:r>
          </w:p>
        </w:tc>
        <w:tc>
          <w:tcPr>
            <w:tcW w:w="1257"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4,400,403</w:t>
            </w:r>
          </w:p>
        </w:tc>
        <w:tc>
          <w:tcPr>
            <w:tcW w:w="1350" w:type="dxa"/>
            <w:shd w:val="clear" w:color="auto" w:fill="F2F2F2" w:themeFill="background1" w:themeFillShade="F2"/>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0.066232</w:t>
            </w:r>
          </w:p>
        </w:tc>
      </w:tr>
      <w:tr w:rsidR="00FB5C03" w:rsidRPr="00F13BE9" w:rsidTr="001C724E">
        <w:tc>
          <w:tcPr>
            <w:tcW w:w="789"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TN</w:t>
            </w:r>
          </w:p>
        </w:tc>
        <w:tc>
          <w:tcPr>
            <w:tcW w:w="992"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Kingston</w:t>
            </w:r>
          </w:p>
        </w:tc>
        <w:tc>
          <w:tcPr>
            <w:tcW w:w="1316"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3407</w:t>
            </w:r>
          </w:p>
        </w:tc>
        <w:tc>
          <w:tcPr>
            <w:tcW w:w="630"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2</w:t>
            </w:r>
          </w:p>
        </w:tc>
        <w:tc>
          <w:tcPr>
            <w:tcW w:w="720"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2015</w:t>
            </w:r>
          </w:p>
        </w:tc>
        <w:tc>
          <w:tcPr>
            <w:tcW w:w="1021"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ARP</w:t>
            </w:r>
          </w:p>
        </w:tc>
        <w:tc>
          <w:tcPr>
            <w:tcW w:w="962"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131.041</w:t>
            </w:r>
          </w:p>
        </w:tc>
        <w:tc>
          <w:tcPr>
            <w:tcW w:w="1257"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4,017,601</w:t>
            </w:r>
          </w:p>
        </w:tc>
        <w:tc>
          <w:tcPr>
            <w:tcW w:w="1350" w:type="dxa"/>
            <w:shd w:val="clear" w:color="auto" w:fill="F2F2F2" w:themeFill="background1" w:themeFillShade="F2"/>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0.065233</w:t>
            </w:r>
          </w:p>
        </w:tc>
      </w:tr>
      <w:tr w:rsidR="00FB5C03" w:rsidRPr="00F13BE9" w:rsidTr="001C724E">
        <w:tc>
          <w:tcPr>
            <w:tcW w:w="789"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TN</w:t>
            </w:r>
          </w:p>
        </w:tc>
        <w:tc>
          <w:tcPr>
            <w:tcW w:w="992"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Kingston</w:t>
            </w:r>
          </w:p>
        </w:tc>
        <w:tc>
          <w:tcPr>
            <w:tcW w:w="1316"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3407</w:t>
            </w:r>
          </w:p>
        </w:tc>
        <w:tc>
          <w:tcPr>
            <w:tcW w:w="630"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3</w:t>
            </w:r>
          </w:p>
        </w:tc>
        <w:tc>
          <w:tcPr>
            <w:tcW w:w="720"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2015</w:t>
            </w:r>
          </w:p>
        </w:tc>
        <w:tc>
          <w:tcPr>
            <w:tcW w:w="1021"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ARP</w:t>
            </w:r>
          </w:p>
        </w:tc>
        <w:tc>
          <w:tcPr>
            <w:tcW w:w="962"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137.369</w:t>
            </w:r>
          </w:p>
        </w:tc>
        <w:tc>
          <w:tcPr>
            <w:tcW w:w="1257"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4,159,780</w:t>
            </w:r>
          </w:p>
        </w:tc>
        <w:tc>
          <w:tcPr>
            <w:tcW w:w="1350" w:type="dxa"/>
            <w:shd w:val="clear" w:color="auto" w:fill="F2F2F2" w:themeFill="background1" w:themeFillShade="F2"/>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0.066046</w:t>
            </w:r>
          </w:p>
        </w:tc>
      </w:tr>
      <w:tr w:rsidR="00FB5C03" w:rsidRPr="00F13BE9" w:rsidTr="001C724E">
        <w:tc>
          <w:tcPr>
            <w:tcW w:w="789"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TN</w:t>
            </w:r>
          </w:p>
        </w:tc>
        <w:tc>
          <w:tcPr>
            <w:tcW w:w="992"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Kingston</w:t>
            </w:r>
          </w:p>
        </w:tc>
        <w:tc>
          <w:tcPr>
            <w:tcW w:w="1316"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3407</w:t>
            </w:r>
          </w:p>
        </w:tc>
        <w:tc>
          <w:tcPr>
            <w:tcW w:w="630"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4</w:t>
            </w:r>
          </w:p>
        </w:tc>
        <w:tc>
          <w:tcPr>
            <w:tcW w:w="720"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2015</w:t>
            </w:r>
          </w:p>
        </w:tc>
        <w:tc>
          <w:tcPr>
            <w:tcW w:w="1021"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ARP</w:t>
            </w:r>
          </w:p>
        </w:tc>
        <w:tc>
          <w:tcPr>
            <w:tcW w:w="962"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111.352</w:t>
            </w:r>
          </w:p>
        </w:tc>
        <w:tc>
          <w:tcPr>
            <w:tcW w:w="1257"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3,257,546</w:t>
            </w:r>
          </w:p>
        </w:tc>
        <w:tc>
          <w:tcPr>
            <w:tcW w:w="1350" w:type="dxa"/>
            <w:shd w:val="clear" w:color="auto" w:fill="F2F2F2" w:themeFill="background1" w:themeFillShade="F2"/>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0.068366</w:t>
            </w:r>
          </w:p>
        </w:tc>
      </w:tr>
      <w:tr w:rsidR="00FB5C03" w:rsidRPr="00F13BE9" w:rsidTr="001C724E">
        <w:tc>
          <w:tcPr>
            <w:tcW w:w="789"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TN</w:t>
            </w:r>
          </w:p>
        </w:tc>
        <w:tc>
          <w:tcPr>
            <w:tcW w:w="992"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Kingston</w:t>
            </w:r>
          </w:p>
        </w:tc>
        <w:tc>
          <w:tcPr>
            <w:tcW w:w="1316"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3407</w:t>
            </w:r>
          </w:p>
        </w:tc>
        <w:tc>
          <w:tcPr>
            <w:tcW w:w="630"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5</w:t>
            </w:r>
          </w:p>
        </w:tc>
        <w:tc>
          <w:tcPr>
            <w:tcW w:w="720"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2015</w:t>
            </w:r>
          </w:p>
        </w:tc>
        <w:tc>
          <w:tcPr>
            <w:tcW w:w="1021"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ARP</w:t>
            </w:r>
          </w:p>
        </w:tc>
        <w:tc>
          <w:tcPr>
            <w:tcW w:w="962"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222.379</w:t>
            </w:r>
          </w:p>
        </w:tc>
        <w:tc>
          <w:tcPr>
            <w:tcW w:w="1257"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6,942,342</w:t>
            </w:r>
          </w:p>
        </w:tc>
        <w:tc>
          <w:tcPr>
            <w:tcW w:w="1350" w:type="dxa"/>
            <w:shd w:val="clear" w:color="auto" w:fill="F2F2F2" w:themeFill="background1" w:themeFillShade="F2"/>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0.064065</w:t>
            </w:r>
          </w:p>
        </w:tc>
      </w:tr>
      <w:tr w:rsidR="00FB5C03" w:rsidRPr="00F13BE9" w:rsidTr="001C724E">
        <w:tc>
          <w:tcPr>
            <w:tcW w:w="789"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TN</w:t>
            </w:r>
          </w:p>
        </w:tc>
        <w:tc>
          <w:tcPr>
            <w:tcW w:w="992"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Kingston</w:t>
            </w:r>
          </w:p>
        </w:tc>
        <w:tc>
          <w:tcPr>
            <w:tcW w:w="1316"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3407</w:t>
            </w:r>
          </w:p>
        </w:tc>
        <w:tc>
          <w:tcPr>
            <w:tcW w:w="630"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6</w:t>
            </w:r>
          </w:p>
        </w:tc>
        <w:tc>
          <w:tcPr>
            <w:tcW w:w="720"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2015</w:t>
            </w:r>
          </w:p>
        </w:tc>
        <w:tc>
          <w:tcPr>
            <w:tcW w:w="1021"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ARP</w:t>
            </w:r>
          </w:p>
        </w:tc>
        <w:tc>
          <w:tcPr>
            <w:tcW w:w="962"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190.553</w:t>
            </w:r>
          </w:p>
        </w:tc>
        <w:tc>
          <w:tcPr>
            <w:tcW w:w="1257"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6,192,926</w:t>
            </w:r>
          </w:p>
        </w:tc>
        <w:tc>
          <w:tcPr>
            <w:tcW w:w="1350" w:type="dxa"/>
            <w:shd w:val="clear" w:color="auto" w:fill="F2F2F2" w:themeFill="background1" w:themeFillShade="F2"/>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0.061539</w:t>
            </w:r>
          </w:p>
        </w:tc>
      </w:tr>
      <w:tr w:rsidR="00FB5C03" w:rsidRPr="00F13BE9" w:rsidTr="001C724E">
        <w:tc>
          <w:tcPr>
            <w:tcW w:w="789"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TN</w:t>
            </w:r>
          </w:p>
        </w:tc>
        <w:tc>
          <w:tcPr>
            <w:tcW w:w="992"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Kingston</w:t>
            </w:r>
          </w:p>
        </w:tc>
        <w:tc>
          <w:tcPr>
            <w:tcW w:w="1316"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3407</w:t>
            </w:r>
          </w:p>
        </w:tc>
        <w:tc>
          <w:tcPr>
            <w:tcW w:w="630"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7</w:t>
            </w:r>
          </w:p>
        </w:tc>
        <w:tc>
          <w:tcPr>
            <w:tcW w:w="720"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2015</w:t>
            </w:r>
          </w:p>
        </w:tc>
        <w:tc>
          <w:tcPr>
            <w:tcW w:w="1021"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ARP</w:t>
            </w:r>
          </w:p>
        </w:tc>
        <w:tc>
          <w:tcPr>
            <w:tcW w:w="962"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153.483</w:t>
            </w:r>
          </w:p>
        </w:tc>
        <w:tc>
          <w:tcPr>
            <w:tcW w:w="1257"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4,382,579</w:t>
            </w:r>
          </w:p>
        </w:tc>
        <w:tc>
          <w:tcPr>
            <w:tcW w:w="1350" w:type="dxa"/>
            <w:shd w:val="clear" w:color="auto" w:fill="F2F2F2" w:themeFill="background1" w:themeFillShade="F2"/>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0.070042</w:t>
            </w:r>
          </w:p>
        </w:tc>
      </w:tr>
      <w:tr w:rsidR="00FB5C03" w:rsidRPr="00F13BE9" w:rsidTr="001C724E">
        <w:tc>
          <w:tcPr>
            <w:tcW w:w="789"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TN</w:t>
            </w:r>
          </w:p>
        </w:tc>
        <w:tc>
          <w:tcPr>
            <w:tcW w:w="992"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Kingston</w:t>
            </w:r>
          </w:p>
        </w:tc>
        <w:tc>
          <w:tcPr>
            <w:tcW w:w="1316"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3407</w:t>
            </w:r>
          </w:p>
        </w:tc>
        <w:tc>
          <w:tcPr>
            <w:tcW w:w="630"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8</w:t>
            </w:r>
          </w:p>
        </w:tc>
        <w:tc>
          <w:tcPr>
            <w:tcW w:w="720"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2015</w:t>
            </w:r>
          </w:p>
        </w:tc>
        <w:tc>
          <w:tcPr>
            <w:tcW w:w="1021"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ARP</w:t>
            </w:r>
          </w:p>
        </w:tc>
        <w:tc>
          <w:tcPr>
            <w:tcW w:w="962"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190.413</w:t>
            </w:r>
          </w:p>
        </w:tc>
        <w:tc>
          <w:tcPr>
            <w:tcW w:w="1257"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6,894,293</w:t>
            </w:r>
          </w:p>
        </w:tc>
        <w:tc>
          <w:tcPr>
            <w:tcW w:w="1350" w:type="dxa"/>
            <w:shd w:val="clear" w:color="auto" w:fill="F2F2F2" w:themeFill="background1" w:themeFillShade="F2"/>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0.055238</w:t>
            </w:r>
          </w:p>
        </w:tc>
      </w:tr>
      <w:tr w:rsidR="00FB5C03" w:rsidRPr="00F13BE9" w:rsidTr="001C724E">
        <w:tc>
          <w:tcPr>
            <w:tcW w:w="789"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TN</w:t>
            </w:r>
          </w:p>
        </w:tc>
        <w:tc>
          <w:tcPr>
            <w:tcW w:w="992"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Kingston</w:t>
            </w:r>
          </w:p>
        </w:tc>
        <w:tc>
          <w:tcPr>
            <w:tcW w:w="1316"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3407</w:t>
            </w:r>
          </w:p>
        </w:tc>
        <w:tc>
          <w:tcPr>
            <w:tcW w:w="630"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9</w:t>
            </w:r>
          </w:p>
        </w:tc>
        <w:tc>
          <w:tcPr>
            <w:tcW w:w="720"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2015</w:t>
            </w:r>
          </w:p>
        </w:tc>
        <w:tc>
          <w:tcPr>
            <w:tcW w:w="1021" w:type="dxa"/>
            <w:vAlign w:val="bottom"/>
          </w:tcPr>
          <w:p w:rsidR="00FB5C03" w:rsidRPr="00F13BE9" w:rsidRDefault="00FB5C03" w:rsidP="001C724E">
            <w:pPr>
              <w:rPr>
                <w:rFonts w:ascii="Calibri" w:hAnsi="Calibri"/>
                <w:color w:val="000000"/>
                <w:sz w:val="16"/>
                <w:szCs w:val="16"/>
              </w:rPr>
            </w:pPr>
            <w:r w:rsidRPr="00F13BE9">
              <w:rPr>
                <w:rFonts w:ascii="Calibri" w:hAnsi="Calibri"/>
                <w:color w:val="000000"/>
                <w:sz w:val="16"/>
                <w:szCs w:val="16"/>
              </w:rPr>
              <w:t>ARP</w:t>
            </w:r>
          </w:p>
        </w:tc>
        <w:tc>
          <w:tcPr>
            <w:tcW w:w="962"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189.625</w:t>
            </w:r>
          </w:p>
        </w:tc>
        <w:tc>
          <w:tcPr>
            <w:tcW w:w="1257" w:type="dxa"/>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5,850,419</w:t>
            </w:r>
          </w:p>
        </w:tc>
        <w:tc>
          <w:tcPr>
            <w:tcW w:w="1350" w:type="dxa"/>
            <w:shd w:val="clear" w:color="auto" w:fill="F2F2F2" w:themeFill="background1" w:themeFillShade="F2"/>
            <w:vAlign w:val="bottom"/>
          </w:tcPr>
          <w:p w:rsidR="00FB5C03" w:rsidRPr="00F13BE9" w:rsidRDefault="00FB5C03" w:rsidP="001C724E">
            <w:pPr>
              <w:jc w:val="right"/>
              <w:rPr>
                <w:rFonts w:ascii="Calibri" w:hAnsi="Calibri"/>
                <w:color w:val="000000"/>
                <w:sz w:val="16"/>
                <w:szCs w:val="16"/>
              </w:rPr>
            </w:pPr>
            <w:r w:rsidRPr="00F13BE9">
              <w:rPr>
                <w:rFonts w:ascii="Calibri" w:hAnsi="Calibri"/>
                <w:color w:val="000000"/>
                <w:sz w:val="16"/>
                <w:szCs w:val="16"/>
              </w:rPr>
              <w:t>0.064824</w:t>
            </w:r>
          </w:p>
        </w:tc>
      </w:tr>
    </w:tbl>
    <w:p w:rsidR="00FB5C03" w:rsidRPr="00EC720A" w:rsidRDefault="00FB5C03" w:rsidP="00FB5C03">
      <w:pPr>
        <w:pStyle w:val="ListParagraph"/>
        <w:numPr>
          <w:ilvl w:val="1"/>
          <w:numId w:val="8"/>
        </w:numPr>
        <w:rPr>
          <w:b/>
        </w:rPr>
      </w:pPr>
      <w:r>
        <w:t>NJ units ORIS codes updated for the following units (Adam Lewis):</w:t>
      </w:r>
    </w:p>
    <w:p w:rsidR="00FB5C03" w:rsidRPr="00EC720A" w:rsidRDefault="00FB5C03" w:rsidP="00FB5C03">
      <w:pPr>
        <w:pStyle w:val="ListParagraph"/>
        <w:numPr>
          <w:ilvl w:val="2"/>
          <w:numId w:val="8"/>
        </w:numPr>
        <w:rPr>
          <w:b/>
        </w:rPr>
      </w:pPr>
      <w:r>
        <w:lastRenderedPageBreak/>
        <w:t>Hess Newark Energy Center:  Temporary ORIS=993402, Actual ORIS = 58079</w:t>
      </w:r>
    </w:p>
    <w:p w:rsidR="00FB5C03" w:rsidRPr="00EC720A" w:rsidRDefault="00FB5C03" w:rsidP="00FB5C03">
      <w:pPr>
        <w:pStyle w:val="ListParagraph"/>
        <w:numPr>
          <w:ilvl w:val="2"/>
          <w:numId w:val="8"/>
        </w:numPr>
        <w:rPr>
          <w:b/>
        </w:rPr>
      </w:pPr>
      <w:r>
        <w:t>Woodbridge Energy Center:  Temporary ORIS=993403, Actual ORIS=57839</w:t>
      </w:r>
    </w:p>
    <w:p w:rsidR="00FB5C03" w:rsidRPr="00377905" w:rsidRDefault="00FB5C03" w:rsidP="00FB5C03">
      <w:pPr>
        <w:pStyle w:val="ListParagraph"/>
        <w:numPr>
          <w:ilvl w:val="1"/>
          <w:numId w:val="8"/>
        </w:numPr>
        <w:rPr>
          <w:b/>
          <w:szCs w:val="24"/>
        </w:rPr>
      </w:pPr>
      <w:r>
        <w:rPr>
          <w:szCs w:val="24"/>
        </w:rPr>
        <w:t xml:space="preserve">(From Adam Lewis) </w:t>
      </w:r>
      <w:r w:rsidRPr="00377905">
        <w:rPr>
          <w:szCs w:val="24"/>
        </w:rPr>
        <w:t xml:space="preserve">Added 2408, 1 and 2 </w:t>
      </w:r>
      <w:r w:rsidRPr="00377905">
        <w:rPr>
          <w:rFonts w:cs="Arial"/>
          <w:szCs w:val="24"/>
        </w:rPr>
        <w:t>SO</w:t>
      </w:r>
      <w:r w:rsidRPr="00377905">
        <w:rPr>
          <w:rFonts w:cs="Arial"/>
          <w:szCs w:val="24"/>
          <w:vertAlign w:val="subscript"/>
        </w:rPr>
        <w:t>2</w:t>
      </w:r>
      <w:r w:rsidRPr="00377905">
        <w:rPr>
          <w:szCs w:val="24"/>
        </w:rPr>
        <w:t xml:space="preserve"> rates (Mercer Units 1 and 2) of 0.04 lbs/mmbtu </w:t>
      </w:r>
      <w:r w:rsidRPr="00377905">
        <w:rPr>
          <w:rFonts w:cs="Arial"/>
          <w:szCs w:val="24"/>
        </w:rPr>
        <w:t>SO</w:t>
      </w:r>
      <w:r w:rsidRPr="00377905">
        <w:rPr>
          <w:rFonts w:cs="Arial"/>
          <w:szCs w:val="24"/>
          <w:vertAlign w:val="subscript"/>
        </w:rPr>
        <w:t>2</w:t>
      </w:r>
      <w:r w:rsidRPr="00377905">
        <w:rPr>
          <w:szCs w:val="24"/>
        </w:rPr>
        <w:t xml:space="preserve"> starting 01/01/2017 to reflect natural gas fuel.  Units were already controlled for NOx to 0.09 lbs NOx/mmbtu.</w:t>
      </w:r>
    </w:p>
    <w:p w:rsidR="00FB5C03" w:rsidRPr="00BE6D54" w:rsidRDefault="00FB5C03" w:rsidP="00FB5C03">
      <w:pPr>
        <w:pStyle w:val="ListParagraph"/>
        <w:numPr>
          <w:ilvl w:val="1"/>
          <w:numId w:val="8"/>
        </w:numPr>
        <w:rPr>
          <w:b/>
          <w:szCs w:val="24"/>
        </w:rPr>
      </w:pPr>
      <w:r>
        <w:rPr>
          <w:szCs w:val="24"/>
        </w:rPr>
        <w:t xml:space="preserve">(From Wendy Jacobs) </w:t>
      </w:r>
      <w:r w:rsidRPr="00377905">
        <w:rPr>
          <w:szCs w:val="24"/>
        </w:rPr>
        <w:t>Added 990901, N0901, and N0902 (</w:t>
      </w:r>
      <w:proofErr w:type="spellStart"/>
      <w:r>
        <w:rPr>
          <w:szCs w:val="24"/>
        </w:rPr>
        <w:t>CPV</w:t>
      </w:r>
      <w:proofErr w:type="spellEnd"/>
      <w:r>
        <w:rPr>
          <w:szCs w:val="24"/>
        </w:rPr>
        <w:t xml:space="preserve"> </w:t>
      </w:r>
      <w:r w:rsidRPr="00377905">
        <w:rPr>
          <w:szCs w:val="24"/>
        </w:rPr>
        <w:t>Towantic</w:t>
      </w:r>
      <w:r>
        <w:rPr>
          <w:szCs w:val="24"/>
        </w:rPr>
        <w:t>, LLC</w:t>
      </w:r>
      <w:r w:rsidRPr="00377905">
        <w:rPr>
          <w:szCs w:val="24"/>
        </w:rPr>
        <w:t xml:space="preserve">), </w:t>
      </w:r>
      <w:r w:rsidRPr="00377905">
        <w:rPr>
          <w:rFonts w:cs="Arial"/>
          <w:szCs w:val="24"/>
        </w:rPr>
        <w:t>SO</w:t>
      </w:r>
      <w:r w:rsidRPr="00377905">
        <w:rPr>
          <w:rFonts w:cs="Arial"/>
          <w:szCs w:val="24"/>
          <w:vertAlign w:val="subscript"/>
        </w:rPr>
        <w:t>2</w:t>
      </w:r>
      <w:r w:rsidRPr="00377905">
        <w:rPr>
          <w:szCs w:val="24"/>
        </w:rPr>
        <w:t xml:space="preserve"> = 0.0006 lbs/mmbtu and NOx = 0.0075 lbs/mmbtu.</w:t>
      </w:r>
    </w:p>
    <w:p w:rsidR="00FB5C03" w:rsidRPr="00BE6D54" w:rsidRDefault="00FB5C03" w:rsidP="00FB5C03">
      <w:pPr>
        <w:pStyle w:val="ListParagraph"/>
        <w:numPr>
          <w:ilvl w:val="1"/>
          <w:numId w:val="8"/>
        </w:numPr>
        <w:rPr>
          <w:b/>
          <w:szCs w:val="24"/>
        </w:rPr>
      </w:pPr>
      <w:r>
        <w:t xml:space="preserve">(From Bob Lopez) Added 55641 (Riverside) N55001 and N55002 </w:t>
      </w:r>
      <w:r w:rsidRPr="00BE6D54">
        <w:rPr>
          <w:rFonts w:cs="Arial"/>
          <w:sz w:val="20"/>
          <w:szCs w:val="20"/>
        </w:rPr>
        <w:t>SO</w:t>
      </w:r>
      <w:r w:rsidRPr="00BE6D54">
        <w:rPr>
          <w:rFonts w:cs="Arial"/>
          <w:sz w:val="20"/>
          <w:szCs w:val="20"/>
          <w:vertAlign w:val="subscript"/>
        </w:rPr>
        <w:t>2</w:t>
      </w:r>
      <w:r>
        <w:t xml:space="preserve"> = 0.0006 lbs mmbtu/</w:t>
      </w:r>
      <w:proofErr w:type="spellStart"/>
      <w:r>
        <w:t>hr</w:t>
      </w:r>
      <w:proofErr w:type="spellEnd"/>
      <w:r>
        <w:t xml:space="preserve"> and NOx = 0.0094 lbs/mmbtu</w:t>
      </w:r>
    </w:p>
    <w:p w:rsidR="00FB5C03" w:rsidRPr="00FA7C3F" w:rsidRDefault="00FB5C03" w:rsidP="00FB5C03">
      <w:pPr>
        <w:pStyle w:val="ListParagraph"/>
        <w:numPr>
          <w:ilvl w:val="0"/>
          <w:numId w:val="8"/>
        </w:numPr>
        <w:rPr>
          <w:b/>
        </w:rPr>
      </w:pPr>
      <w:r>
        <w:rPr>
          <w:b/>
        </w:rPr>
        <w:t xml:space="preserve">Growth Rates File </w:t>
      </w:r>
    </w:p>
    <w:p w:rsidR="00FB5C03" w:rsidRPr="002769B9" w:rsidRDefault="00FB5C03" w:rsidP="00FB5C03">
      <w:pPr>
        <w:pStyle w:val="ListParagraph"/>
        <w:numPr>
          <w:ilvl w:val="1"/>
          <w:numId w:val="8"/>
        </w:numPr>
        <w:rPr>
          <w:b/>
        </w:rPr>
      </w:pPr>
      <w:r>
        <w:t xml:space="preserve">SRVC oil peak rate changed from 2.531 to 2.478.  The SRVC specific growth rates were developed by comparing max hourly capacity to BY </w:t>
      </w:r>
      <w:proofErr w:type="gramStart"/>
      <w:r>
        <w:t>actual,</w:t>
      </w:r>
      <w:proofErr w:type="gramEnd"/>
      <w:r>
        <w:t xml:space="preserve"> and assuming worst case increases with no GDU development.  The capacity in 2023 of SRVC oil changed, but the peak rate wasn't adjusted to reflect the capacity change in 2.5.  This mistake was corrected in 2.5L2 (Trial 2023-2) and on.   </w:t>
      </w:r>
    </w:p>
    <w:p w:rsidR="00FB5C03" w:rsidRPr="00033275" w:rsidRDefault="00FB5C03" w:rsidP="00FB5C03">
      <w:pPr>
        <w:pStyle w:val="ListParagraph"/>
        <w:numPr>
          <w:ilvl w:val="1"/>
          <w:numId w:val="8"/>
        </w:numPr>
        <w:rPr>
          <w:b/>
        </w:rPr>
      </w:pPr>
      <w:r>
        <w:t>Deleted AZNM, oil; CAMX, oil; ERCT, oil; RMPA, oil; SPPR, coal; and SRDA, coal to reduce log warnings.</w:t>
      </w:r>
    </w:p>
    <w:p w:rsidR="00FB5C03" w:rsidRPr="008523BC" w:rsidRDefault="00FB5C03" w:rsidP="00FB5C03">
      <w:pPr>
        <w:pStyle w:val="ListParagraph"/>
        <w:numPr>
          <w:ilvl w:val="1"/>
          <w:numId w:val="8"/>
        </w:numPr>
        <w:rPr>
          <w:b/>
        </w:rPr>
      </w:pPr>
      <w:r>
        <w:t xml:space="preserve">Added SRCE boiler gas to reduce log warnings.  SRCE boiler gas units in the FY do not process due to </w:t>
      </w:r>
      <w:proofErr w:type="gramStart"/>
      <w:r>
        <w:t>no</w:t>
      </w:r>
      <w:proofErr w:type="gramEnd"/>
      <w:r>
        <w:t xml:space="preserve"> base year activity for that fuel/unit type in that region.  SRCE boiler gas data was not supplied in growth committee spreadsheets, so I used growth rates for simple cycle gas in SRCE as the place holder for this region/fuel-unit type. </w:t>
      </w:r>
    </w:p>
    <w:p w:rsidR="00FB5C03" w:rsidRPr="00033275" w:rsidRDefault="00FB5C03" w:rsidP="00FB5C03">
      <w:pPr>
        <w:pStyle w:val="ListParagraph"/>
        <w:numPr>
          <w:ilvl w:val="1"/>
          <w:numId w:val="8"/>
        </w:numPr>
        <w:rPr>
          <w:b/>
        </w:rPr>
      </w:pPr>
      <w:r>
        <w:t>The growth committee supplied new growth rates for RFWZ in an email dated 7/18/2016, in a file called "Growth Rate Adjustments – ERTACv2_5_RFWZ_MROZ_MROS_Jul18.xlsx", tab "Adjusted RFWZ Jul 18".</w:t>
      </w:r>
    </w:p>
    <w:p w:rsidR="00FB5C03" w:rsidRPr="00033275" w:rsidRDefault="00FB5C03" w:rsidP="00FB5C03">
      <w:pPr>
        <w:pStyle w:val="ListParagraph"/>
        <w:numPr>
          <w:ilvl w:val="1"/>
          <w:numId w:val="8"/>
        </w:numPr>
        <w:rPr>
          <w:b/>
        </w:rPr>
      </w:pPr>
      <w:r>
        <w:t xml:space="preserve">Due to various infrastructure and ownership changes, the growth committee decided to combine regions MROZ, MROW, and RFCM into one region called MROS.  </w:t>
      </w:r>
    </w:p>
    <w:p w:rsidR="00FB5C03" w:rsidRPr="00033275" w:rsidRDefault="00FB5C03" w:rsidP="00FB5C03">
      <w:pPr>
        <w:pStyle w:val="ListParagraph"/>
        <w:numPr>
          <w:ilvl w:val="2"/>
          <w:numId w:val="8"/>
        </w:numPr>
        <w:rPr>
          <w:b/>
        </w:rPr>
      </w:pPr>
      <w:r>
        <w:t xml:space="preserve">Growth rates for MROS were included in a file called "Growth Rate Adjustments – ERTACv2_5_RFWZ_MROZ_MROS_Jul18.xlsx", tab "New MROS July 18", received from the growth committee in an email dated 7/18/2016.  Oil growth rate was not included for MROS.  Therefore, the RFCM growth rate for oil was used from previous runs based on the growth committee file called "AEO2015 ESD2015 GRs 3-21-2016" as </w:t>
      </w:r>
      <w:proofErr w:type="spellStart"/>
      <w:r>
        <w:t>RFCM's</w:t>
      </w:r>
      <w:proofErr w:type="spellEnd"/>
      <w:r>
        <w:t xml:space="preserve"> oil rate in this file was midway between </w:t>
      </w:r>
      <w:proofErr w:type="spellStart"/>
      <w:r>
        <w:t>MROZ's</w:t>
      </w:r>
      <w:proofErr w:type="spellEnd"/>
      <w:r>
        <w:t xml:space="preserve"> and </w:t>
      </w:r>
      <w:proofErr w:type="spellStart"/>
      <w:r>
        <w:t>MROW's</w:t>
      </w:r>
      <w:proofErr w:type="spellEnd"/>
      <w:r>
        <w:t xml:space="preserve"> oil growth rate.</w:t>
      </w:r>
    </w:p>
    <w:p w:rsidR="00FB5C03" w:rsidRPr="00033275" w:rsidRDefault="00FB5C03" w:rsidP="00FB5C03">
      <w:pPr>
        <w:pStyle w:val="ListParagraph"/>
        <w:numPr>
          <w:ilvl w:val="2"/>
          <w:numId w:val="8"/>
        </w:numPr>
        <w:rPr>
          <w:b/>
        </w:rPr>
      </w:pPr>
      <w:r>
        <w:t>Lines for MROZ, MROW, and RFCM were removed from the growth rate file to reduce warnings in the log.</w:t>
      </w:r>
    </w:p>
    <w:p w:rsidR="00FB5C03" w:rsidRDefault="00FB5C03" w:rsidP="00FB5C03">
      <w:pPr>
        <w:pStyle w:val="ListParagraph"/>
        <w:numPr>
          <w:ilvl w:val="0"/>
          <w:numId w:val="8"/>
        </w:numPr>
      </w:pPr>
      <w:r w:rsidRPr="00007BE0">
        <w:rPr>
          <w:b/>
        </w:rPr>
        <w:lastRenderedPageBreak/>
        <w:t>Seasonal Controls Fil</w:t>
      </w:r>
      <w:r w:rsidRPr="000C5180">
        <w:rPr>
          <w:b/>
        </w:rPr>
        <w:t>e</w:t>
      </w:r>
      <w:r>
        <w:t xml:space="preserve"> – </w:t>
      </w:r>
    </w:p>
    <w:p w:rsidR="00FB5C03" w:rsidRDefault="00FB5C03" w:rsidP="00FB5C03">
      <w:pPr>
        <w:pStyle w:val="ListParagraph"/>
        <w:numPr>
          <w:ilvl w:val="1"/>
          <w:numId w:val="8"/>
        </w:numPr>
        <w:rPr>
          <w:szCs w:val="24"/>
        </w:rPr>
      </w:pPr>
      <w:r>
        <w:rPr>
          <w:szCs w:val="24"/>
        </w:rPr>
        <w:t>Added the following MD units' NOx rates starting in 2017.  Rates come from MD, Emily Bull, email dated 8/10/2016.  Added an end date of 12/31/2017 since email states that these rates are only for 2017.</w:t>
      </w:r>
    </w:p>
    <w:tbl>
      <w:tblPr>
        <w:tblStyle w:val="TableGrid"/>
        <w:tblW w:w="0" w:type="auto"/>
        <w:tblInd w:w="1440" w:type="dxa"/>
        <w:tblLook w:val="04A0" w:firstRow="1" w:lastRow="0" w:firstColumn="1" w:lastColumn="0" w:noHBand="0" w:noVBand="1"/>
      </w:tblPr>
      <w:tblGrid>
        <w:gridCol w:w="1221"/>
        <w:gridCol w:w="1167"/>
        <w:gridCol w:w="1437"/>
        <w:gridCol w:w="1437"/>
      </w:tblGrid>
      <w:tr w:rsidR="00FB5C03" w:rsidTr="001C724E">
        <w:tc>
          <w:tcPr>
            <w:tcW w:w="1221" w:type="dxa"/>
          </w:tcPr>
          <w:p w:rsidR="00FB5C03" w:rsidRDefault="00FB5C03" w:rsidP="001C724E">
            <w:r>
              <w:t>ORIS</w:t>
            </w:r>
          </w:p>
        </w:tc>
        <w:tc>
          <w:tcPr>
            <w:tcW w:w="1167" w:type="dxa"/>
          </w:tcPr>
          <w:p w:rsidR="00FB5C03" w:rsidRDefault="00FB5C03" w:rsidP="001C724E">
            <w:r>
              <w:t>Unit ID</w:t>
            </w:r>
          </w:p>
        </w:tc>
        <w:tc>
          <w:tcPr>
            <w:tcW w:w="1437" w:type="dxa"/>
          </w:tcPr>
          <w:p w:rsidR="00FB5C03" w:rsidRDefault="00FB5C03" w:rsidP="001C724E">
            <w:r>
              <w:t>OS NOx rate, lbs/mmbtu</w:t>
            </w:r>
          </w:p>
        </w:tc>
        <w:tc>
          <w:tcPr>
            <w:tcW w:w="1437" w:type="dxa"/>
          </w:tcPr>
          <w:p w:rsidR="00FB5C03" w:rsidRDefault="00FB5C03" w:rsidP="001C724E">
            <w:r>
              <w:t>nonOS NOx rate, lbs/mmbtu</w:t>
            </w:r>
          </w:p>
        </w:tc>
      </w:tr>
      <w:tr w:rsidR="00FB5C03" w:rsidTr="001C724E">
        <w:tc>
          <w:tcPr>
            <w:tcW w:w="1221" w:type="dxa"/>
          </w:tcPr>
          <w:p w:rsidR="00FB5C03" w:rsidRDefault="00FB5C03" w:rsidP="001C724E">
            <w:r>
              <w:t>602</w:t>
            </w:r>
          </w:p>
        </w:tc>
        <w:tc>
          <w:tcPr>
            <w:tcW w:w="1167" w:type="dxa"/>
          </w:tcPr>
          <w:p w:rsidR="00FB5C03" w:rsidRDefault="00FB5C03" w:rsidP="001C724E">
            <w:r>
              <w:t>1</w:t>
            </w:r>
          </w:p>
        </w:tc>
        <w:tc>
          <w:tcPr>
            <w:tcW w:w="1437" w:type="dxa"/>
          </w:tcPr>
          <w:p w:rsidR="00FB5C03" w:rsidRDefault="00FB5C03" w:rsidP="001C724E">
            <w:r>
              <w:t>0.0647</w:t>
            </w:r>
          </w:p>
        </w:tc>
        <w:tc>
          <w:tcPr>
            <w:tcW w:w="1437" w:type="dxa"/>
          </w:tcPr>
          <w:p w:rsidR="00FB5C03" w:rsidRDefault="00FB5C03" w:rsidP="001C724E">
            <w:r>
              <w:t>0.194</w:t>
            </w:r>
          </w:p>
        </w:tc>
      </w:tr>
      <w:tr w:rsidR="00FB5C03" w:rsidTr="001C724E">
        <w:tc>
          <w:tcPr>
            <w:tcW w:w="1221" w:type="dxa"/>
          </w:tcPr>
          <w:p w:rsidR="00FB5C03" w:rsidRDefault="00FB5C03" w:rsidP="001C724E">
            <w:r>
              <w:t>602</w:t>
            </w:r>
          </w:p>
        </w:tc>
        <w:tc>
          <w:tcPr>
            <w:tcW w:w="1167" w:type="dxa"/>
          </w:tcPr>
          <w:p w:rsidR="00FB5C03" w:rsidRDefault="00FB5C03" w:rsidP="001C724E">
            <w:r>
              <w:t>2</w:t>
            </w:r>
          </w:p>
        </w:tc>
        <w:tc>
          <w:tcPr>
            <w:tcW w:w="1437" w:type="dxa"/>
          </w:tcPr>
          <w:p w:rsidR="00FB5C03" w:rsidRDefault="00FB5C03" w:rsidP="001C724E">
            <w:r>
              <w:t>0.0733</w:t>
            </w:r>
          </w:p>
        </w:tc>
        <w:tc>
          <w:tcPr>
            <w:tcW w:w="1437" w:type="dxa"/>
          </w:tcPr>
          <w:p w:rsidR="00FB5C03" w:rsidRDefault="00FB5C03" w:rsidP="001C724E">
            <w:r>
              <w:t>0.211</w:t>
            </w:r>
          </w:p>
        </w:tc>
      </w:tr>
      <w:tr w:rsidR="00FB5C03" w:rsidTr="001C724E">
        <w:tc>
          <w:tcPr>
            <w:tcW w:w="1221" w:type="dxa"/>
          </w:tcPr>
          <w:p w:rsidR="00FB5C03" w:rsidRDefault="00FB5C03" w:rsidP="001C724E">
            <w:r>
              <w:t>1554</w:t>
            </w:r>
          </w:p>
        </w:tc>
        <w:tc>
          <w:tcPr>
            <w:tcW w:w="1167" w:type="dxa"/>
          </w:tcPr>
          <w:p w:rsidR="00FB5C03" w:rsidRDefault="00FB5C03" w:rsidP="001C724E">
            <w:r>
              <w:t>2</w:t>
            </w:r>
          </w:p>
        </w:tc>
        <w:tc>
          <w:tcPr>
            <w:tcW w:w="1437" w:type="dxa"/>
          </w:tcPr>
          <w:p w:rsidR="00FB5C03" w:rsidRDefault="00FB5C03" w:rsidP="001C724E">
            <w:r>
              <w:t>0.2222</w:t>
            </w:r>
          </w:p>
        </w:tc>
        <w:tc>
          <w:tcPr>
            <w:tcW w:w="1437" w:type="dxa"/>
          </w:tcPr>
          <w:p w:rsidR="00FB5C03" w:rsidRDefault="00FB5C03" w:rsidP="001C724E">
            <w:r>
              <w:t>0.395</w:t>
            </w:r>
          </w:p>
        </w:tc>
      </w:tr>
      <w:tr w:rsidR="00FB5C03" w:rsidTr="001C724E">
        <w:tc>
          <w:tcPr>
            <w:tcW w:w="1221" w:type="dxa"/>
          </w:tcPr>
          <w:p w:rsidR="00FB5C03" w:rsidRDefault="00FB5C03" w:rsidP="001C724E">
            <w:r>
              <w:t>1554</w:t>
            </w:r>
          </w:p>
        </w:tc>
        <w:tc>
          <w:tcPr>
            <w:tcW w:w="1167" w:type="dxa"/>
          </w:tcPr>
          <w:p w:rsidR="00FB5C03" w:rsidRDefault="00FB5C03" w:rsidP="001C724E">
            <w:r>
              <w:t>3</w:t>
            </w:r>
          </w:p>
        </w:tc>
        <w:tc>
          <w:tcPr>
            <w:tcW w:w="1437" w:type="dxa"/>
          </w:tcPr>
          <w:p w:rsidR="00FB5C03" w:rsidRDefault="00FB5C03" w:rsidP="001C724E">
            <w:r>
              <w:t>0.0552</w:t>
            </w:r>
          </w:p>
        </w:tc>
        <w:tc>
          <w:tcPr>
            <w:tcW w:w="1437" w:type="dxa"/>
          </w:tcPr>
          <w:p w:rsidR="00FB5C03" w:rsidRDefault="00FB5C03" w:rsidP="001C724E">
            <w:r>
              <w:t>0.157</w:t>
            </w:r>
          </w:p>
        </w:tc>
      </w:tr>
      <w:tr w:rsidR="00FB5C03" w:rsidTr="001C724E">
        <w:tc>
          <w:tcPr>
            <w:tcW w:w="1221" w:type="dxa"/>
          </w:tcPr>
          <w:p w:rsidR="00FB5C03" w:rsidRDefault="00FB5C03" w:rsidP="001C724E">
            <w:r>
              <w:t>1571</w:t>
            </w:r>
          </w:p>
        </w:tc>
        <w:tc>
          <w:tcPr>
            <w:tcW w:w="1167" w:type="dxa"/>
          </w:tcPr>
          <w:p w:rsidR="00FB5C03" w:rsidRDefault="00FB5C03" w:rsidP="001C724E">
            <w:r>
              <w:t>1</w:t>
            </w:r>
          </w:p>
        </w:tc>
        <w:tc>
          <w:tcPr>
            <w:tcW w:w="1437" w:type="dxa"/>
          </w:tcPr>
          <w:p w:rsidR="00FB5C03" w:rsidRDefault="00FB5C03" w:rsidP="001C724E">
            <w:r>
              <w:t>0.1186</w:t>
            </w:r>
          </w:p>
        </w:tc>
        <w:tc>
          <w:tcPr>
            <w:tcW w:w="1437" w:type="dxa"/>
          </w:tcPr>
          <w:p w:rsidR="00FB5C03" w:rsidRDefault="00FB5C03" w:rsidP="001C724E">
            <w:r>
              <w:t>0.191</w:t>
            </w:r>
          </w:p>
        </w:tc>
      </w:tr>
      <w:tr w:rsidR="00FB5C03" w:rsidTr="001C724E">
        <w:tc>
          <w:tcPr>
            <w:tcW w:w="1221" w:type="dxa"/>
          </w:tcPr>
          <w:p w:rsidR="00FB5C03" w:rsidRDefault="00FB5C03" w:rsidP="001C724E">
            <w:r>
              <w:t>1571</w:t>
            </w:r>
          </w:p>
        </w:tc>
        <w:tc>
          <w:tcPr>
            <w:tcW w:w="1167" w:type="dxa"/>
          </w:tcPr>
          <w:p w:rsidR="00FB5C03" w:rsidRDefault="00FB5C03" w:rsidP="001C724E">
            <w:r>
              <w:t>2</w:t>
            </w:r>
          </w:p>
        </w:tc>
        <w:tc>
          <w:tcPr>
            <w:tcW w:w="1437" w:type="dxa"/>
          </w:tcPr>
          <w:p w:rsidR="00FB5C03" w:rsidRDefault="00FB5C03" w:rsidP="001C724E">
            <w:r>
              <w:t>0.1985</w:t>
            </w:r>
          </w:p>
        </w:tc>
        <w:tc>
          <w:tcPr>
            <w:tcW w:w="1437" w:type="dxa"/>
          </w:tcPr>
          <w:p w:rsidR="00FB5C03" w:rsidRDefault="00FB5C03" w:rsidP="001C724E">
            <w:r>
              <w:t>0.253</w:t>
            </w:r>
          </w:p>
        </w:tc>
      </w:tr>
      <w:tr w:rsidR="00FB5C03" w:rsidTr="001C724E">
        <w:tc>
          <w:tcPr>
            <w:tcW w:w="1221" w:type="dxa"/>
          </w:tcPr>
          <w:p w:rsidR="00FB5C03" w:rsidRDefault="00FB5C03" w:rsidP="001C724E">
            <w:r>
              <w:t>1572</w:t>
            </w:r>
          </w:p>
        </w:tc>
        <w:tc>
          <w:tcPr>
            <w:tcW w:w="1167" w:type="dxa"/>
          </w:tcPr>
          <w:p w:rsidR="00FB5C03" w:rsidRDefault="00FB5C03" w:rsidP="001C724E">
            <w:r>
              <w:t>1</w:t>
            </w:r>
          </w:p>
        </w:tc>
        <w:tc>
          <w:tcPr>
            <w:tcW w:w="1437" w:type="dxa"/>
          </w:tcPr>
          <w:p w:rsidR="00FB5C03" w:rsidRDefault="00FB5C03" w:rsidP="001C724E">
            <w:r>
              <w:t>0.2197</w:t>
            </w:r>
          </w:p>
        </w:tc>
        <w:tc>
          <w:tcPr>
            <w:tcW w:w="1437" w:type="dxa"/>
          </w:tcPr>
          <w:p w:rsidR="00FB5C03" w:rsidRDefault="00FB5C03" w:rsidP="001C724E">
            <w:r>
              <w:t>0.285</w:t>
            </w:r>
          </w:p>
        </w:tc>
      </w:tr>
      <w:tr w:rsidR="00FB5C03" w:rsidTr="001C724E">
        <w:tc>
          <w:tcPr>
            <w:tcW w:w="1221" w:type="dxa"/>
          </w:tcPr>
          <w:p w:rsidR="00FB5C03" w:rsidRDefault="00FB5C03" w:rsidP="001C724E">
            <w:r>
              <w:t>1572</w:t>
            </w:r>
          </w:p>
        </w:tc>
        <w:tc>
          <w:tcPr>
            <w:tcW w:w="1167" w:type="dxa"/>
          </w:tcPr>
          <w:p w:rsidR="00FB5C03" w:rsidRDefault="00FB5C03" w:rsidP="001C724E">
            <w:r>
              <w:t>2</w:t>
            </w:r>
          </w:p>
        </w:tc>
        <w:tc>
          <w:tcPr>
            <w:tcW w:w="1437" w:type="dxa"/>
          </w:tcPr>
          <w:p w:rsidR="00FB5C03" w:rsidRDefault="00FB5C03" w:rsidP="001C724E">
            <w:r>
              <w:t>0.2212</w:t>
            </w:r>
          </w:p>
        </w:tc>
        <w:tc>
          <w:tcPr>
            <w:tcW w:w="1437" w:type="dxa"/>
          </w:tcPr>
          <w:p w:rsidR="00FB5C03" w:rsidRDefault="00FB5C03" w:rsidP="001C724E">
            <w:r>
              <w:t>0.290</w:t>
            </w:r>
          </w:p>
        </w:tc>
      </w:tr>
      <w:tr w:rsidR="00FB5C03" w:rsidTr="001C724E">
        <w:tc>
          <w:tcPr>
            <w:tcW w:w="1221" w:type="dxa"/>
          </w:tcPr>
          <w:p w:rsidR="00FB5C03" w:rsidRDefault="00FB5C03" w:rsidP="001C724E">
            <w:r>
              <w:t>1572</w:t>
            </w:r>
          </w:p>
        </w:tc>
        <w:tc>
          <w:tcPr>
            <w:tcW w:w="1167" w:type="dxa"/>
          </w:tcPr>
          <w:p w:rsidR="00FB5C03" w:rsidRDefault="00FB5C03" w:rsidP="001C724E">
            <w:r>
              <w:t>3</w:t>
            </w:r>
          </w:p>
        </w:tc>
        <w:tc>
          <w:tcPr>
            <w:tcW w:w="1437" w:type="dxa"/>
          </w:tcPr>
          <w:p w:rsidR="00FB5C03" w:rsidRDefault="00FB5C03" w:rsidP="001C724E">
            <w:r>
              <w:t>0.2178</w:t>
            </w:r>
          </w:p>
        </w:tc>
        <w:tc>
          <w:tcPr>
            <w:tcW w:w="1437" w:type="dxa"/>
          </w:tcPr>
          <w:p w:rsidR="00FB5C03" w:rsidRDefault="00FB5C03" w:rsidP="001C724E">
            <w:r>
              <w:t>0.288</w:t>
            </w:r>
          </w:p>
        </w:tc>
      </w:tr>
      <w:tr w:rsidR="00FB5C03" w:rsidTr="001C724E">
        <w:tc>
          <w:tcPr>
            <w:tcW w:w="1221" w:type="dxa"/>
          </w:tcPr>
          <w:p w:rsidR="00FB5C03" w:rsidRPr="00E954F9" w:rsidRDefault="00FB5C03" w:rsidP="001C724E">
            <w:r w:rsidRPr="00E954F9">
              <w:t>1573</w:t>
            </w:r>
          </w:p>
        </w:tc>
        <w:tc>
          <w:tcPr>
            <w:tcW w:w="1167" w:type="dxa"/>
          </w:tcPr>
          <w:p w:rsidR="00FB5C03" w:rsidRPr="00E954F9" w:rsidRDefault="00FB5C03" w:rsidP="001C724E">
            <w:r w:rsidRPr="00E954F9">
              <w:t>1</w:t>
            </w:r>
          </w:p>
        </w:tc>
        <w:tc>
          <w:tcPr>
            <w:tcW w:w="1437" w:type="dxa"/>
          </w:tcPr>
          <w:p w:rsidR="00FB5C03" w:rsidRPr="00E954F9" w:rsidRDefault="00FB5C03" w:rsidP="001C724E">
            <w:r>
              <w:t>0.0386</w:t>
            </w:r>
          </w:p>
        </w:tc>
        <w:tc>
          <w:tcPr>
            <w:tcW w:w="1437" w:type="dxa"/>
          </w:tcPr>
          <w:p w:rsidR="00FB5C03" w:rsidRDefault="00FB5C03" w:rsidP="001C724E">
            <w:r>
              <w:t>0.038</w:t>
            </w:r>
          </w:p>
        </w:tc>
      </w:tr>
      <w:tr w:rsidR="00FB5C03" w:rsidTr="001C724E">
        <w:tc>
          <w:tcPr>
            <w:tcW w:w="1221" w:type="dxa"/>
          </w:tcPr>
          <w:p w:rsidR="00FB5C03" w:rsidRPr="00E954F9" w:rsidRDefault="00FB5C03" w:rsidP="001C724E">
            <w:r w:rsidRPr="00E954F9">
              <w:t>1573</w:t>
            </w:r>
          </w:p>
        </w:tc>
        <w:tc>
          <w:tcPr>
            <w:tcW w:w="1167" w:type="dxa"/>
          </w:tcPr>
          <w:p w:rsidR="00FB5C03" w:rsidRPr="00E954F9" w:rsidRDefault="00FB5C03" w:rsidP="001C724E">
            <w:r w:rsidRPr="00E954F9">
              <w:t>2</w:t>
            </w:r>
          </w:p>
        </w:tc>
        <w:tc>
          <w:tcPr>
            <w:tcW w:w="1437" w:type="dxa"/>
          </w:tcPr>
          <w:p w:rsidR="00FB5C03" w:rsidRPr="00E954F9" w:rsidRDefault="00FB5C03" w:rsidP="001C724E">
            <w:r>
              <w:t>0.0309</w:t>
            </w:r>
          </w:p>
        </w:tc>
        <w:tc>
          <w:tcPr>
            <w:tcW w:w="1437" w:type="dxa"/>
          </w:tcPr>
          <w:p w:rsidR="00FB5C03" w:rsidRDefault="00FB5C03" w:rsidP="001C724E">
            <w:r>
              <w:t>0.035</w:t>
            </w:r>
          </w:p>
        </w:tc>
      </w:tr>
      <w:tr w:rsidR="00FB5C03" w:rsidTr="001C724E">
        <w:tc>
          <w:tcPr>
            <w:tcW w:w="1221" w:type="dxa"/>
          </w:tcPr>
          <w:p w:rsidR="00FB5C03" w:rsidRPr="00E954F9" w:rsidRDefault="00FB5C03" w:rsidP="001C724E">
            <w:r w:rsidRPr="00E954F9">
              <w:t>10678</w:t>
            </w:r>
          </w:p>
        </w:tc>
        <w:tc>
          <w:tcPr>
            <w:tcW w:w="1167" w:type="dxa"/>
          </w:tcPr>
          <w:p w:rsidR="00FB5C03" w:rsidRPr="00E954F9" w:rsidRDefault="00FB5C03" w:rsidP="001C724E">
            <w:r>
              <w:t>00</w:t>
            </w:r>
            <w:r w:rsidRPr="00E954F9">
              <w:t>1</w:t>
            </w:r>
          </w:p>
        </w:tc>
        <w:tc>
          <w:tcPr>
            <w:tcW w:w="1437" w:type="dxa"/>
          </w:tcPr>
          <w:p w:rsidR="00FB5C03" w:rsidRPr="00E954F9" w:rsidRDefault="00FB5C03" w:rsidP="001C724E">
            <w:r>
              <w:t>0.0514</w:t>
            </w:r>
          </w:p>
        </w:tc>
        <w:tc>
          <w:tcPr>
            <w:tcW w:w="1437" w:type="dxa"/>
          </w:tcPr>
          <w:p w:rsidR="00FB5C03" w:rsidRDefault="00FB5C03" w:rsidP="001C724E">
            <w:r>
              <w:t>0.159</w:t>
            </w:r>
          </w:p>
        </w:tc>
      </w:tr>
      <w:tr w:rsidR="00FB5C03" w:rsidTr="001C724E">
        <w:tc>
          <w:tcPr>
            <w:tcW w:w="1221" w:type="dxa"/>
          </w:tcPr>
          <w:p w:rsidR="00FB5C03" w:rsidRDefault="00FB5C03" w:rsidP="001C724E">
            <w:r>
              <w:t>1552</w:t>
            </w:r>
          </w:p>
        </w:tc>
        <w:tc>
          <w:tcPr>
            <w:tcW w:w="1167" w:type="dxa"/>
          </w:tcPr>
          <w:p w:rsidR="00FB5C03" w:rsidRDefault="00FB5C03" w:rsidP="001C724E">
            <w:r>
              <w:t>1</w:t>
            </w:r>
          </w:p>
        </w:tc>
        <w:tc>
          <w:tcPr>
            <w:tcW w:w="1437" w:type="dxa"/>
          </w:tcPr>
          <w:p w:rsidR="00FB5C03" w:rsidRDefault="00FB5C03" w:rsidP="001C724E">
            <w:r>
              <w:t>0.2783</w:t>
            </w:r>
          </w:p>
        </w:tc>
        <w:tc>
          <w:tcPr>
            <w:tcW w:w="1437" w:type="dxa"/>
          </w:tcPr>
          <w:p w:rsidR="00FB5C03" w:rsidRDefault="00FB5C03" w:rsidP="001C724E">
            <w:r>
              <w:t>0.449</w:t>
            </w:r>
          </w:p>
        </w:tc>
      </w:tr>
      <w:tr w:rsidR="00FB5C03" w:rsidTr="001C724E">
        <w:tc>
          <w:tcPr>
            <w:tcW w:w="1221" w:type="dxa"/>
          </w:tcPr>
          <w:p w:rsidR="00FB5C03" w:rsidRDefault="00FB5C03" w:rsidP="001C724E">
            <w:r>
              <w:t>1552</w:t>
            </w:r>
          </w:p>
        </w:tc>
        <w:tc>
          <w:tcPr>
            <w:tcW w:w="1167" w:type="dxa"/>
          </w:tcPr>
          <w:p w:rsidR="00FB5C03" w:rsidRDefault="00FB5C03" w:rsidP="001C724E">
            <w:r>
              <w:t>2</w:t>
            </w:r>
          </w:p>
        </w:tc>
        <w:tc>
          <w:tcPr>
            <w:tcW w:w="1437" w:type="dxa"/>
          </w:tcPr>
          <w:p w:rsidR="00FB5C03" w:rsidRDefault="00FB5C03" w:rsidP="001C724E">
            <w:r>
              <w:t>0.2351</w:t>
            </w:r>
          </w:p>
        </w:tc>
        <w:tc>
          <w:tcPr>
            <w:tcW w:w="1437" w:type="dxa"/>
          </w:tcPr>
          <w:p w:rsidR="00FB5C03" w:rsidRDefault="00FB5C03" w:rsidP="001C724E">
            <w:r>
              <w:t>0.407</w:t>
            </w:r>
          </w:p>
        </w:tc>
      </w:tr>
    </w:tbl>
    <w:p w:rsidR="00FB5C03" w:rsidRPr="008B3B44" w:rsidRDefault="00FB5C03" w:rsidP="00FB5C03">
      <w:pPr>
        <w:ind w:left="1080"/>
        <w:rPr>
          <w:szCs w:val="24"/>
        </w:rPr>
      </w:pPr>
    </w:p>
    <w:p w:rsidR="00FB5C03" w:rsidRDefault="00FB5C03" w:rsidP="00FB5C03">
      <w:pPr>
        <w:pStyle w:val="ListParagraph"/>
        <w:numPr>
          <w:ilvl w:val="1"/>
          <w:numId w:val="8"/>
        </w:numPr>
        <w:rPr>
          <w:szCs w:val="24"/>
        </w:rPr>
      </w:pPr>
      <w:r>
        <w:rPr>
          <w:szCs w:val="24"/>
        </w:rPr>
        <w:t>Added the following MD units' NOx rates starting in 2023.  Rates come from MD, Emily Bull, email dated 8/10/2016.  Added an end date of 12/31/2023 since they email states these are only for 2023.</w:t>
      </w:r>
    </w:p>
    <w:p w:rsidR="00FB5C03" w:rsidRDefault="00FB5C03" w:rsidP="00FB5C03">
      <w:pPr>
        <w:pStyle w:val="ListParagraph"/>
        <w:ind w:left="1440"/>
        <w:rPr>
          <w:szCs w:val="24"/>
        </w:rPr>
      </w:pPr>
    </w:p>
    <w:tbl>
      <w:tblPr>
        <w:tblStyle w:val="TableGrid"/>
        <w:tblW w:w="0" w:type="auto"/>
        <w:tblInd w:w="1440" w:type="dxa"/>
        <w:tblLook w:val="04A0" w:firstRow="1" w:lastRow="0" w:firstColumn="1" w:lastColumn="0" w:noHBand="0" w:noVBand="1"/>
      </w:tblPr>
      <w:tblGrid>
        <w:gridCol w:w="1221"/>
        <w:gridCol w:w="1167"/>
        <w:gridCol w:w="1437"/>
        <w:gridCol w:w="1437"/>
      </w:tblGrid>
      <w:tr w:rsidR="00FB5C03" w:rsidTr="001C724E">
        <w:tc>
          <w:tcPr>
            <w:tcW w:w="1221" w:type="dxa"/>
          </w:tcPr>
          <w:p w:rsidR="00FB5C03" w:rsidRDefault="00FB5C03" w:rsidP="001C724E">
            <w:r>
              <w:t>ORIS</w:t>
            </w:r>
          </w:p>
        </w:tc>
        <w:tc>
          <w:tcPr>
            <w:tcW w:w="1167" w:type="dxa"/>
          </w:tcPr>
          <w:p w:rsidR="00FB5C03" w:rsidRDefault="00FB5C03" w:rsidP="001C724E">
            <w:r>
              <w:t>Unit ID</w:t>
            </w:r>
          </w:p>
        </w:tc>
        <w:tc>
          <w:tcPr>
            <w:tcW w:w="1437" w:type="dxa"/>
          </w:tcPr>
          <w:p w:rsidR="00FB5C03" w:rsidRDefault="00FB5C03" w:rsidP="001C724E">
            <w:r>
              <w:t>OS NOx rate, lbs/mmbtu</w:t>
            </w:r>
          </w:p>
        </w:tc>
        <w:tc>
          <w:tcPr>
            <w:tcW w:w="1437" w:type="dxa"/>
          </w:tcPr>
          <w:p w:rsidR="00FB5C03" w:rsidRDefault="00FB5C03" w:rsidP="001C724E">
            <w:r>
              <w:t>nonOS NOx rate, lbs/mmbtu</w:t>
            </w:r>
          </w:p>
        </w:tc>
      </w:tr>
      <w:tr w:rsidR="00FB5C03" w:rsidTr="001C724E">
        <w:tc>
          <w:tcPr>
            <w:tcW w:w="1221" w:type="dxa"/>
          </w:tcPr>
          <w:p w:rsidR="00FB5C03" w:rsidRDefault="00FB5C03" w:rsidP="001C724E">
            <w:r>
              <w:t>602</w:t>
            </w:r>
          </w:p>
        </w:tc>
        <w:tc>
          <w:tcPr>
            <w:tcW w:w="1167" w:type="dxa"/>
          </w:tcPr>
          <w:p w:rsidR="00FB5C03" w:rsidRDefault="00FB5C03" w:rsidP="001C724E">
            <w:r>
              <w:t>1</w:t>
            </w:r>
          </w:p>
        </w:tc>
        <w:tc>
          <w:tcPr>
            <w:tcW w:w="1437" w:type="dxa"/>
          </w:tcPr>
          <w:p w:rsidR="00FB5C03" w:rsidRDefault="00FB5C03" w:rsidP="001C724E">
            <w:r>
              <w:t>0.0647</w:t>
            </w:r>
          </w:p>
        </w:tc>
        <w:tc>
          <w:tcPr>
            <w:tcW w:w="1437" w:type="dxa"/>
          </w:tcPr>
          <w:p w:rsidR="00FB5C03" w:rsidRDefault="00FB5C03" w:rsidP="001C724E">
            <w:r>
              <w:t>0.194</w:t>
            </w:r>
          </w:p>
        </w:tc>
      </w:tr>
      <w:tr w:rsidR="00FB5C03" w:rsidTr="001C724E">
        <w:tc>
          <w:tcPr>
            <w:tcW w:w="1221" w:type="dxa"/>
          </w:tcPr>
          <w:p w:rsidR="00FB5C03" w:rsidRDefault="00FB5C03" w:rsidP="001C724E">
            <w:r>
              <w:t>602</w:t>
            </w:r>
          </w:p>
        </w:tc>
        <w:tc>
          <w:tcPr>
            <w:tcW w:w="1167" w:type="dxa"/>
          </w:tcPr>
          <w:p w:rsidR="00FB5C03" w:rsidRDefault="00FB5C03" w:rsidP="001C724E">
            <w:r>
              <w:t>2</w:t>
            </w:r>
          </w:p>
        </w:tc>
        <w:tc>
          <w:tcPr>
            <w:tcW w:w="1437" w:type="dxa"/>
          </w:tcPr>
          <w:p w:rsidR="00FB5C03" w:rsidRDefault="00FB5C03" w:rsidP="001C724E">
            <w:r>
              <w:t>0.0733</w:t>
            </w:r>
          </w:p>
        </w:tc>
        <w:tc>
          <w:tcPr>
            <w:tcW w:w="1437" w:type="dxa"/>
          </w:tcPr>
          <w:p w:rsidR="00FB5C03" w:rsidRDefault="00FB5C03" w:rsidP="001C724E">
            <w:r>
              <w:t>0.211</w:t>
            </w:r>
          </w:p>
        </w:tc>
      </w:tr>
      <w:tr w:rsidR="00FB5C03" w:rsidTr="001C724E">
        <w:tc>
          <w:tcPr>
            <w:tcW w:w="1221" w:type="dxa"/>
          </w:tcPr>
          <w:p w:rsidR="00FB5C03" w:rsidRDefault="00FB5C03" w:rsidP="001C724E">
            <w:r>
              <w:t>1554</w:t>
            </w:r>
          </w:p>
        </w:tc>
        <w:tc>
          <w:tcPr>
            <w:tcW w:w="1167" w:type="dxa"/>
          </w:tcPr>
          <w:p w:rsidR="00FB5C03" w:rsidRDefault="00FB5C03" w:rsidP="001C724E">
            <w:r>
              <w:t>2</w:t>
            </w:r>
          </w:p>
        </w:tc>
        <w:tc>
          <w:tcPr>
            <w:tcW w:w="1437" w:type="dxa"/>
          </w:tcPr>
          <w:p w:rsidR="00FB5C03" w:rsidRDefault="00FB5C03" w:rsidP="001C724E">
            <w:r>
              <w:t>0.2222</w:t>
            </w:r>
          </w:p>
        </w:tc>
        <w:tc>
          <w:tcPr>
            <w:tcW w:w="1437" w:type="dxa"/>
          </w:tcPr>
          <w:p w:rsidR="00FB5C03" w:rsidRDefault="00FB5C03" w:rsidP="001C724E">
            <w:r>
              <w:t>0.395</w:t>
            </w:r>
          </w:p>
        </w:tc>
      </w:tr>
      <w:tr w:rsidR="00FB5C03" w:rsidTr="001C724E">
        <w:tc>
          <w:tcPr>
            <w:tcW w:w="1221" w:type="dxa"/>
          </w:tcPr>
          <w:p w:rsidR="00FB5C03" w:rsidRDefault="00FB5C03" w:rsidP="001C724E">
            <w:r>
              <w:t>1554</w:t>
            </w:r>
          </w:p>
        </w:tc>
        <w:tc>
          <w:tcPr>
            <w:tcW w:w="1167" w:type="dxa"/>
          </w:tcPr>
          <w:p w:rsidR="00FB5C03" w:rsidRDefault="00FB5C03" w:rsidP="001C724E">
            <w:r>
              <w:t>3</w:t>
            </w:r>
          </w:p>
        </w:tc>
        <w:tc>
          <w:tcPr>
            <w:tcW w:w="1437" w:type="dxa"/>
          </w:tcPr>
          <w:p w:rsidR="00FB5C03" w:rsidRDefault="00FB5C03" w:rsidP="001C724E">
            <w:r>
              <w:t>0.0552</w:t>
            </w:r>
          </w:p>
        </w:tc>
        <w:tc>
          <w:tcPr>
            <w:tcW w:w="1437" w:type="dxa"/>
          </w:tcPr>
          <w:p w:rsidR="00FB5C03" w:rsidRDefault="00FB5C03" w:rsidP="001C724E">
            <w:r>
              <w:t>0.157</w:t>
            </w:r>
          </w:p>
        </w:tc>
      </w:tr>
      <w:tr w:rsidR="00FB5C03" w:rsidTr="001C724E">
        <w:tc>
          <w:tcPr>
            <w:tcW w:w="1221" w:type="dxa"/>
          </w:tcPr>
          <w:p w:rsidR="00FB5C03" w:rsidRDefault="00FB5C03" w:rsidP="001C724E">
            <w:r>
              <w:t>1571</w:t>
            </w:r>
          </w:p>
        </w:tc>
        <w:tc>
          <w:tcPr>
            <w:tcW w:w="1167" w:type="dxa"/>
          </w:tcPr>
          <w:p w:rsidR="00FB5C03" w:rsidRDefault="00FB5C03" w:rsidP="001C724E">
            <w:r>
              <w:t>1</w:t>
            </w:r>
          </w:p>
        </w:tc>
        <w:tc>
          <w:tcPr>
            <w:tcW w:w="1437" w:type="dxa"/>
          </w:tcPr>
          <w:p w:rsidR="00FB5C03" w:rsidRDefault="00FB5C03" w:rsidP="001C724E">
            <w:r>
              <w:t>0.1186</w:t>
            </w:r>
          </w:p>
        </w:tc>
        <w:tc>
          <w:tcPr>
            <w:tcW w:w="1437" w:type="dxa"/>
          </w:tcPr>
          <w:p w:rsidR="00FB5C03" w:rsidRDefault="00FB5C03" w:rsidP="001C724E">
            <w:r>
              <w:t>0.191</w:t>
            </w:r>
          </w:p>
        </w:tc>
      </w:tr>
      <w:tr w:rsidR="00FB5C03" w:rsidTr="001C724E">
        <w:tc>
          <w:tcPr>
            <w:tcW w:w="1221" w:type="dxa"/>
          </w:tcPr>
          <w:p w:rsidR="00FB5C03" w:rsidRDefault="00FB5C03" w:rsidP="001C724E">
            <w:r>
              <w:t>1571</w:t>
            </w:r>
          </w:p>
        </w:tc>
        <w:tc>
          <w:tcPr>
            <w:tcW w:w="1167" w:type="dxa"/>
          </w:tcPr>
          <w:p w:rsidR="00FB5C03" w:rsidRDefault="00FB5C03" w:rsidP="001C724E">
            <w:r>
              <w:t>2</w:t>
            </w:r>
          </w:p>
        </w:tc>
        <w:tc>
          <w:tcPr>
            <w:tcW w:w="1437" w:type="dxa"/>
          </w:tcPr>
          <w:p w:rsidR="00FB5C03" w:rsidRDefault="00FB5C03" w:rsidP="001C724E">
            <w:r>
              <w:t>0.1278</w:t>
            </w:r>
          </w:p>
        </w:tc>
        <w:tc>
          <w:tcPr>
            <w:tcW w:w="1437" w:type="dxa"/>
          </w:tcPr>
          <w:p w:rsidR="00FB5C03" w:rsidRDefault="00FB5C03" w:rsidP="001C724E">
            <w:r>
              <w:t>0.253</w:t>
            </w:r>
          </w:p>
        </w:tc>
      </w:tr>
      <w:tr w:rsidR="00FB5C03" w:rsidTr="001C724E">
        <w:tc>
          <w:tcPr>
            <w:tcW w:w="1221" w:type="dxa"/>
          </w:tcPr>
          <w:p w:rsidR="00FB5C03" w:rsidRDefault="00FB5C03" w:rsidP="001C724E">
            <w:r>
              <w:t>1572</w:t>
            </w:r>
          </w:p>
        </w:tc>
        <w:tc>
          <w:tcPr>
            <w:tcW w:w="1167" w:type="dxa"/>
          </w:tcPr>
          <w:p w:rsidR="00FB5C03" w:rsidRDefault="00FB5C03" w:rsidP="001C724E">
            <w:r>
              <w:t>1</w:t>
            </w:r>
          </w:p>
        </w:tc>
        <w:tc>
          <w:tcPr>
            <w:tcW w:w="1437" w:type="dxa"/>
          </w:tcPr>
          <w:p w:rsidR="00FB5C03" w:rsidRDefault="00FB5C03" w:rsidP="001C724E">
            <w:r>
              <w:t>0.1414</w:t>
            </w:r>
          </w:p>
        </w:tc>
        <w:tc>
          <w:tcPr>
            <w:tcW w:w="1437" w:type="dxa"/>
          </w:tcPr>
          <w:p w:rsidR="00FB5C03" w:rsidRDefault="00FB5C03" w:rsidP="001C724E">
            <w:r>
              <w:t>0.285</w:t>
            </w:r>
          </w:p>
        </w:tc>
      </w:tr>
      <w:tr w:rsidR="00FB5C03" w:rsidTr="001C724E">
        <w:tc>
          <w:tcPr>
            <w:tcW w:w="1221" w:type="dxa"/>
          </w:tcPr>
          <w:p w:rsidR="00FB5C03" w:rsidRDefault="00FB5C03" w:rsidP="001C724E">
            <w:r>
              <w:t>1572</w:t>
            </w:r>
          </w:p>
        </w:tc>
        <w:tc>
          <w:tcPr>
            <w:tcW w:w="1167" w:type="dxa"/>
          </w:tcPr>
          <w:p w:rsidR="00FB5C03" w:rsidRDefault="00FB5C03" w:rsidP="001C724E">
            <w:r>
              <w:t>2</w:t>
            </w:r>
          </w:p>
        </w:tc>
        <w:tc>
          <w:tcPr>
            <w:tcW w:w="1437" w:type="dxa"/>
          </w:tcPr>
          <w:p w:rsidR="00FB5C03" w:rsidRDefault="00FB5C03" w:rsidP="001C724E">
            <w:r>
              <w:t>0.1424</w:t>
            </w:r>
          </w:p>
        </w:tc>
        <w:tc>
          <w:tcPr>
            <w:tcW w:w="1437" w:type="dxa"/>
          </w:tcPr>
          <w:p w:rsidR="00FB5C03" w:rsidRDefault="00FB5C03" w:rsidP="001C724E">
            <w:r>
              <w:t>0.290</w:t>
            </w:r>
          </w:p>
        </w:tc>
      </w:tr>
      <w:tr w:rsidR="00FB5C03" w:rsidTr="001C724E">
        <w:tc>
          <w:tcPr>
            <w:tcW w:w="1221" w:type="dxa"/>
          </w:tcPr>
          <w:p w:rsidR="00FB5C03" w:rsidRDefault="00FB5C03" w:rsidP="001C724E">
            <w:r>
              <w:t>1572</w:t>
            </w:r>
          </w:p>
        </w:tc>
        <w:tc>
          <w:tcPr>
            <w:tcW w:w="1167" w:type="dxa"/>
          </w:tcPr>
          <w:p w:rsidR="00FB5C03" w:rsidRDefault="00FB5C03" w:rsidP="001C724E">
            <w:r>
              <w:t>3</w:t>
            </w:r>
          </w:p>
        </w:tc>
        <w:tc>
          <w:tcPr>
            <w:tcW w:w="1437" w:type="dxa"/>
          </w:tcPr>
          <w:p w:rsidR="00FB5C03" w:rsidRDefault="00FB5C03" w:rsidP="001C724E">
            <w:r>
              <w:t>0.1402</w:t>
            </w:r>
          </w:p>
        </w:tc>
        <w:tc>
          <w:tcPr>
            <w:tcW w:w="1437" w:type="dxa"/>
          </w:tcPr>
          <w:p w:rsidR="00FB5C03" w:rsidRDefault="00FB5C03" w:rsidP="001C724E">
            <w:r>
              <w:t>0.288</w:t>
            </w:r>
          </w:p>
        </w:tc>
      </w:tr>
      <w:tr w:rsidR="00FB5C03" w:rsidTr="001C724E">
        <w:tc>
          <w:tcPr>
            <w:tcW w:w="1221" w:type="dxa"/>
          </w:tcPr>
          <w:p w:rsidR="00FB5C03" w:rsidRPr="00E954F9" w:rsidRDefault="00FB5C03" w:rsidP="001C724E">
            <w:r w:rsidRPr="00E954F9">
              <w:t>1573</w:t>
            </w:r>
          </w:p>
        </w:tc>
        <w:tc>
          <w:tcPr>
            <w:tcW w:w="1167" w:type="dxa"/>
          </w:tcPr>
          <w:p w:rsidR="00FB5C03" w:rsidRPr="00E954F9" w:rsidRDefault="00FB5C03" w:rsidP="001C724E">
            <w:r w:rsidRPr="00E954F9">
              <w:t>1</w:t>
            </w:r>
          </w:p>
        </w:tc>
        <w:tc>
          <w:tcPr>
            <w:tcW w:w="1437" w:type="dxa"/>
          </w:tcPr>
          <w:p w:rsidR="00FB5C03" w:rsidRPr="00E954F9" w:rsidRDefault="00FB5C03" w:rsidP="001C724E">
            <w:r w:rsidRPr="00E954F9">
              <w:t>0.0386</w:t>
            </w:r>
          </w:p>
        </w:tc>
        <w:tc>
          <w:tcPr>
            <w:tcW w:w="1437" w:type="dxa"/>
          </w:tcPr>
          <w:p w:rsidR="00FB5C03" w:rsidRDefault="00FB5C03" w:rsidP="001C724E">
            <w:r>
              <w:t>0.038</w:t>
            </w:r>
          </w:p>
        </w:tc>
      </w:tr>
      <w:tr w:rsidR="00FB5C03" w:rsidTr="001C724E">
        <w:tc>
          <w:tcPr>
            <w:tcW w:w="1221" w:type="dxa"/>
          </w:tcPr>
          <w:p w:rsidR="00FB5C03" w:rsidRPr="00E954F9" w:rsidRDefault="00FB5C03" w:rsidP="001C724E">
            <w:r w:rsidRPr="00E954F9">
              <w:t>1573</w:t>
            </w:r>
          </w:p>
        </w:tc>
        <w:tc>
          <w:tcPr>
            <w:tcW w:w="1167" w:type="dxa"/>
          </w:tcPr>
          <w:p w:rsidR="00FB5C03" w:rsidRPr="00E954F9" w:rsidRDefault="00FB5C03" w:rsidP="001C724E">
            <w:r w:rsidRPr="00E954F9">
              <w:t>2</w:t>
            </w:r>
          </w:p>
        </w:tc>
        <w:tc>
          <w:tcPr>
            <w:tcW w:w="1437" w:type="dxa"/>
          </w:tcPr>
          <w:p w:rsidR="00FB5C03" w:rsidRPr="00E954F9" w:rsidRDefault="00FB5C03" w:rsidP="001C724E">
            <w:r w:rsidRPr="00E954F9">
              <w:t>0.0309</w:t>
            </w:r>
          </w:p>
        </w:tc>
        <w:tc>
          <w:tcPr>
            <w:tcW w:w="1437" w:type="dxa"/>
          </w:tcPr>
          <w:p w:rsidR="00FB5C03" w:rsidRDefault="00FB5C03" w:rsidP="001C724E">
            <w:r>
              <w:t>0.035</w:t>
            </w:r>
          </w:p>
        </w:tc>
      </w:tr>
      <w:tr w:rsidR="00FB5C03" w:rsidTr="001C724E">
        <w:tc>
          <w:tcPr>
            <w:tcW w:w="1221" w:type="dxa"/>
          </w:tcPr>
          <w:p w:rsidR="00FB5C03" w:rsidRPr="00E954F9" w:rsidRDefault="00FB5C03" w:rsidP="001C724E">
            <w:r w:rsidRPr="00E954F9">
              <w:t>10678</w:t>
            </w:r>
          </w:p>
        </w:tc>
        <w:tc>
          <w:tcPr>
            <w:tcW w:w="1167" w:type="dxa"/>
          </w:tcPr>
          <w:p w:rsidR="00FB5C03" w:rsidRPr="00E954F9" w:rsidRDefault="00FB5C03" w:rsidP="001C724E">
            <w:r>
              <w:t>00</w:t>
            </w:r>
            <w:r w:rsidRPr="00E954F9">
              <w:t>1</w:t>
            </w:r>
          </w:p>
        </w:tc>
        <w:tc>
          <w:tcPr>
            <w:tcW w:w="1437" w:type="dxa"/>
          </w:tcPr>
          <w:p w:rsidR="00FB5C03" w:rsidRPr="00E954F9" w:rsidRDefault="00FB5C03" w:rsidP="001C724E">
            <w:r w:rsidRPr="00E954F9">
              <w:t>0.0514</w:t>
            </w:r>
          </w:p>
        </w:tc>
        <w:tc>
          <w:tcPr>
            <w:tcW w:w="1437" w:type="dxa"/>
          </w:tcPr>
          <w:p w:rsidR="00FB5C03" w:rsidRDefault="00FB5C03" w:rsidP="001C724E">
            <w:r>
              <w:t>0.159</w:t>
            </w:r>
          </w:p>
        </w:tc>
      </w:tr>
      <w:tr w:rsidR="00FB5C03" w:rsidTr="001C724E">
        <w:tc>
          <w:tcPr>
            <w:tcW w:w="1221" w:type="dxa"/>
          </w:tcPr>
          <w:p w:rsidR="00FB5C03" w:rsidRDefault="00FB5C03" w:rsidP="001C724E">
            <w:r>
              <w:t>1552</w:t>
            </w:r>
          </w:p>
        </w:tc>
        <w:tc>
          <w:tcPr>
            <w:tcW w:w="1167" w:type="dxa"/>
          </w:tcPr>
          <w:p w:rsidR="00FB5C03" w:rsidRDefault="00FB5C03" w:rsidP="001C724E">
            <w:r>
              <w:t>1</w:t>
            </w:r>
          </w:p>
        </w:tc>
        <w:tc>
          <w:tcPr>
            <w:tcW w:w="1437" w:type="dxa"/>
          </w:tcPr>
          <w:p w:rsidR="00FB5C03" w:rsidRDefault="00FB5C03" w:rsidP="001C724E">
            <w:r>
              <w:t>0.1500</w:t>
            </w:r>
          </w:p>
        </w:tc>
        <w:tc>
          <w:tcPr>
            <w:tcW w:w="1437" w:type="dxa"/>
          </w:tcPr>
          <w:p w:rsidR="00FB5C03" w:rsidRDefault="00FB5C03" w:rsidP="001C724E">
            <w:r>
              <w:t>0.449</w:t>
            </w:r>
          </w:p>
        </w:tc>
      </w:tr>
      <w:tr w:rsidR="00FB5C03" w:rsidTr="001C724E">
        <w:tc>
          <w:tcPr>
            <w:tcW w:w="1221" w:type="dxa"/>
          </w:tcPr>
          <w:p w:rsidR="00FB5C03" w:rsidRDefault="00FB5C03" w:rsidP="001C724E">
            <w:r>
              <w:t>1552</w:t>
            </w:r>
          </w:p>
        </w:tc>
        <w:tc>
          <w:tcPr>
            <w:tcW w:w="1167" w:type="dxa"/>
          </w:tcPr>
          <w:p w:rsidR="00FB5C03" w:rsidRDefault="00FB5C03" w:rsidP="001C724E">
            <w:r>
              <w:t>2</w:t>
            </w:r>
          </w:p>
        </w:tc>
        <w:tc>
          <w:tcPr>
            <w:tcW w:w="1437" w:type="dxa"/>
          </w:tcPr>
          <w:p w:rsidR="00FB5C03" w:rsidRDefault="00FB5C03" w:rsidP="001C724E">
            <w:r>
              <w:t>0.1500</w:t>
            </w:r>
          </w:p>
        </w:tc>
        <w:tc>
          <w:tcPr>
            <w:tcW w:w="1437" w:type="dxa"/>
          </w:tcPr>
          <w:p w:rsidR="00FB5C03" w:rsidRDefault="00FB5C03" w:rsidP="001C724E">
            <w:r>
              <w:t>0.407</w:t>
            </w:r>
          </w:p>
        </w:tc>
      </w:tr>
    </w:tbl>
    <w:p w:rsidR="00FB5C03" w:rsidRPr="008F2D9F" w:rsidRDefault="00FB5C03" w:rsidP="00FB5C03">
      <w:pPr>
        <w:rPr>
          <w:szCs w:val="24"/>
        </w:rPr>
      </w:pPr>
    </w:p>
    <w:p w:rsidR="00FB5C03" w:rsidRDefault="00FB5C03" w:rsidP="00FB5C03">
      <w:pPr>
        <w:pStyle w:val="ListParagraph"/>
        <w:numPr>
          <w:ilvl w:val="1"/>
          <w:numId w:val="8"/>
        </w:numPr>
        <w:rPr>
          <w:szCs w:val="24"/>
        </w:rPr>
      </w:pPr>
      <w:r w:rsidRPr="006C77BC">
        <w:rPr>
          <w:szCs w:val="24"/>
        </w:rPr>
        <w:lastRenderedPageBreak/>
        <w:t xml:space="preserve">Added 2403, Unit 2 (Hudson Generating Station) to file for </w:t>
      </w:r>
      <w:r w:rsidRPr="006C77BC">
        <w:rPr>
          <w:rFonts w:cs="Arial"/>
          <w:szCs w:val="24"/>
        </w:rPr>
        <w:t>SO</w:t>
      </w:r>
      <w:r w:rsidRPr="006C77BC">
        <w:rPr>
          <w:rFonts w:cs="Arial"/>
          <w:szCs w:val="24"/>
          <w:vertAlign w:val="subscript"/>
        </w:rPr>
        <w:t>2</w:t>
      </w:r>
      <w:r w:rsidRPr="006C77BC">
        <w:rPr>
          <w:szCs w:val="24"/>
        </w:rPr>
        <w:t xml:space="preserve">, to reflect 0.1 lbs </w:t>
      </w:r>
      <w:r w:rsidRPr="006C77BC">
        <w:rPr>
          <w:rFonts w:cs="Arial"/>
          <w:szCs w:val="24"/>
        </w:rPr>
        <w:t>SO</w:t>
      </w:r>
      <w:r w:rsidRPr="006C77BC">
        <w:rPr>
          <w:rFonts w:cs="Arial"/>
          <w:szCs w:val="24"/>
          <w:vertAlign w:val="subscript"/>
        </w:rPr>
        <w:t>2</w:t>
      </w:r>
      <w:r w:rsidRPr="006C77BC">
        <w:rPr>
          <w:szCs w:val="24"/>
        </w:rPr>
        <w:t xml:space="preserve">/mmbtu in Jan-Apr and Oct-Dec.  Reflects 0.002 lbs </w:t>
      </w:r>
      <w:r w:rsidRPr="006C77BC">
        <w:rPr>
          <w:rFonts w:cs="Arial"/>
          <w:szCs w:val="24"/>
        </w:rPr>
        <w:t>SO</w:t>
      </w:r>
      <w:r w:rsidRPr="006C77BC">
        <w:rPr>
          <w:rFonts w:cs="Arial"/>
          <w:szCs w:val="24"/>
          <w:vertAlign w:val="subscript"/>
        </w:rPr>
        <w:t>2</w:t>
      </w:r>
      <w:r w:rsidRPr="006C77BC">
        <w:rPr>
          <w:szCs w:val="24"/>
        </w:rPr>
        <w:t xml:space="preserve">/mmbtu in May-September, when burning gas.  Other months are coal.  </w:t>
      </w:r>
    </w:p>
    <w:p w:rsidR="00FB5C03" w:rsidRDefault="00FB5C03" w:rsidP="00FB5C03">
      <w:pPr>
        <w:pStyle w:val="ListParagraph"/>
        <w:numPr>
          <w:ilvl w:val="1"/>
          <w:numId w:val="8"/>
        </w:numPr>
        <w:rPr>
          <w:szCs w:val="24"/>
        </w:rPr>
      </w:pPr>
      <w:r>
        <w:rPr>
          <w:szCs w:val="24"/>
        </w:rPr>
        <w:t xml:space="preserve">Added 3131, Shawville, 1, 2,3, and 4 to file for </w:t>
      </w:r>
      <w:r w:rsidRPr="00E976C3">
        <w:rPr>
          <w:rFonts w:cs="Arial"/>
          <w:sz w:val="20"/>
          <w:szCs w:val="20"/>
        </w:rPr>
        <w:t>SO</w:t>
      </w:r>
      <w:r w:rsidRPr="00E976C3">
        <w:rPr>
          <w:rFonts w:cs="Arial"/>
          <w:sz w:val="20"/>
          <w:szCs w:val="20"/>
          <w:vertAlign w:val="subscript"/>
        </w:rPr>
        <w:t>2</w:t>
      </w:r>
      <w:r>
        <w:rPr>
          <w:szCs w:val="24"/>
        </w:rPr>
        <w:t xml:space="preserve"> and NOx:</w:t>
      </w:r>
    </w:p>
    <w:tbl>
      <w:tblPr>
        <w:tblStyle w:val="TableGrid"/>
        <w:tblW w:w="0" w:type="auto"/>
        <w:tblInd w:w="1440" w:type="dxa"/>
        <w:tblLook w:val="04A0" w:firstRow="1" w:lastRow="0" w:firstColumn="1" w:lastColumn="0" w:noHBand="0" w:noVBand="1"/>
      </w:tblPr>
      <w:tblGrid>
        <w:gridCol w:w="1221"/>
        <w:gridCol w:w="1167"/>
        <w:gridCol w:w="1437"/>
        <w:gridCol w:w="1437"/>
        <w:gridCol w:w="1437"/>
        <w:gridCol w:w="1437"/>
      </w:tblGrid>
      <w:tr w:rsidR="00FB5C03" w:rsidTr="001C724E">
        <w:tc>
          <w:tcPr>
            <w:tcW w:w="1221" w:type="dxa"/>
          </w:tcPr>
          <w:p w:rsidR="00FB5C03" w:rsidRDefault="00FB5C03" w:rsidP="001C724E">
            <w:r>
              <w:t>ORIS</w:t>
            </w:r>
          </w:p>
        </w:tc>
        <w:tc>
          <w:tcPr>
            <w:tcW w:w="1167" w:type="dxa"/>
          </w:tcPr>
          <w:p w:rsidR="00FB5C03" w:rsidRDefault="00FB5C03" w:rsidP="001C724E">
            <w:r>
              <w:t>Unit ID</w:t>
            </w:r>
          </w:p>
        </w:tc>
        <w:tc>
          <w:tcPr>
            <w:tcW w:w="1437" w:type="dxa"/>
          </w:tcPr>
          <w:p w:rsidR="00FB5C03" w:rsidRDefault="00FB5C03" w:rsidP="001C724E">
            <w:r>
              <w:t xml:space="preserve">OS </w:t>
            </w:r>
            <w:r w:rsidRPr="00AE2BCE">
              <w:rPr>
                <w:rFonts w:cs="Arial"/>
                <w:sz w:val="20"/>
                <w:szCs w:val="20"/>
              </w:rPr>
              <w:t>SO</w:t>
            </w:r>
            <w:r w:rsidRPr="00AE2BCE">
              <w:rPr>
                <w:rFonts w:cs="Arial"/>
                <w:sz w:val="20"/>
                <w:szCs w:val="20"/>
                <w:vertAlign w:val="subscript"/>
              </w:rPr>
              <w:t>2</w:t>
            </w:r>
            <w:r>
              <w:t xml:space="preserve"> rate, lbs/mmbtu</w:t>
            </w:r>
          </w:p>
        </w:tc>
        <w:tc>
          <w:tcPr>
            <w:tcW w:w="1437" w:type="dxa"/>
          </w:tcPr>
          <w:p w:rsidR="00FB5C03" w:rsidRDefault="00FB5C03" w:rsidP="001C724E">
            <w:r>
              <w:t xml:space="preserve">nonOS </w:t>
            </w:r>
            <w:r w:rsidRPr="00AE2BCE">
              <w:rPr>
                <w:rFonts w:cs="Arial"/>
                <w:sz w:val="20"/>
                <w:szCs w:val="20"/>
              </w:rPr>
              <w:t>SO</w:t>
            </w:r>
            <w:r w:rsidRPr="00AE2BCE">
              <w:rPr>
                <w:rFonts w:cs="Arial"/>
                <w:sz w:val="20"/>
                <w:szCs w:val="20"/>
                <w:vertAlign w:val="subscript"/>
              </w:rPr>
              <w:t>2</w:t>
            </w:r>
            <w:r>
              <w:t xml:space="preserve"> rate, lbs/mmbtu</w:t>
            </w:r>
          </w:p>
        </w:tc>
        <w:tc>
          <w:tcPr>
            <w:tcW w:w="1437" w:type="dxa"/>
          </w:tcPr>
          <w:p w:rsidR="00FB5C03" w:rsidRDefault="00FB5C03" w:rsidP="001C724E">
            <w:r>
              <w:t>OS NOx rate, lbs/mmbtu</w:t>
            </w:r>
          </w:p>
        </w:tc>
        <w:tc>
          <w:tcPr>
            <w:tcW w:w="1437" w:type="dxa"/>
          </w:tcPr>
          <w:p w:rsidR="00FB5C03" w:rsidRDefault="00FB5C03" w:rsidP="001C724E">
            <w:r>
              <w:t>nonOS NOx rate, lbs/mmbtu</w:t>
            </w:r>
          </w:p>
        </w:tc>
      </w:tr>
      <w:tr w:rsidR="00FB5C03" w:rsidTr="001C724E">
        <w:tc>
          <w:tcPr>
            <w:tcW w:w="1221" w:type="dxa"/>
          </w:tcPr>
          <w:p w:rsidR="00FB5C03" w:rsidRDefault="00FB5C03" w:rsidP="001C724E">
            <w:r>
              <w:t>3131</w:t>
            </w:r>
          </w:p>
        </w:tc>
        <w:tc>
          <w:tcPr>
            <w:tcW w:w="1167" w:type="dxa"/>
          </w:tcPr>
          <w:p w:rsidR="00FB5C03" w:rsidRDefault="00FB5C03" w:rsidP="001C724E">
            <w:r>
              <w:t>1</w:t>
            </w:r>
          </w:p>
        </w:tc>
        <w:tc>
          <w:tcPr>
            <w:tcW w:w="1437" w:type="dxa"/>
          </w:tcPr>
          <w:p w:rsidR="00FB5C03" w:rsidRDefault="00FB5C03" w:rsidP="001C724E">
            <w:r>
              <w:t>0.0006</w:t>
            </w:r>
          </w:p>
        </w:tc>
        <w:tc>
          <w:tcPr>
            <w:tcW w:w="1437" w:type="dxa"/>
          </w:tcPr>
          <w:p w:rsidR="00FB5C03" w:rsidRDefault="00FB5C03" w:rsidP="001C724E">
            <w:r>
              <w:t>0.25</w:t>
            </w:r>
          </w:p>
        </w:tc>
        <w:tc>
          <w:tcPr>
            <w:tcW w:w="1437" w:type="dxa"/>
          </w:tcPr>
          <w:p w:rsidR="00FB5C03" w:rsidRDefault="00FB5C03" w:rsidP="001C724E">
            <w:r>
              <w:t>0.1000</w:t>
            </w:r>
          </w:p>
        </w:tc>
        <w:tc>
          <w:tcPr>
            <w:tcW w:w="1437" w:type="dxa"/>
          </w:tcPr>
          <w:p w:rsidR="00FB5C03" w:rsidRDefault="00FB5C03" w:rsidP="001C724E">
            <w:r>
              <w:t>0.12</w:t>
            </w:r>
          </w:p>
        </w:tc>
      </w:tr>
      <w:tr w:rsidR="00FB5C03" w:rsidTr="001C724E">
        <w:tc>
          <w:tcPr>
            <w:tcW w:w="1221" w:type="dxa"/>
          </w:tcPr>
          <w:p w:rsidR="00FB5C03" w:rsidRDefault="00FB5C03" w:rsidP="001C724E">
            <w:r>
              <w:t>3131</w:t>
            </w:r>
          </w:p>
        </w:tc>
        <w:tc>
          <w:tcPr>
            <w:tcW w:w="1167" w:type="dxa"/>
          </w:tcPr>
          <w:p w:rsidR="00FB5C03" w:rsidRDefault="00FB5C03" w:rsidP="001C724E">
            <w:r>
              <w:t>2</w:t>
            </w:r>
          </w:p>
        </w:tc>
        <w:tc>
          <w:tcPr>
            <w:tcW w:w="1437" w:type="dxa"/>
          </w:tcPr>
          <w:p w:rsidR="00FB5C03" w:rsidRDefault="00FB5C03" w:rsidP="001C724E">
            <w:r>
              <w:t>0.0006</w:t>
            </w:r>
          </w:p>
        </w:tc>
        <w:tc>
          <w:tcPr>
            <w:tcW w:w="1437" w:type="dxa"/>
          </w:tcPr>
          <w:p w:rsidR="00FB5C03" w:rsidRDefault="00FB5C03" w:rsidP="001C724E">
            <w:r>
              <w:t>0.25</w:t>
            </w:r>
          </w:p>
        </w:tc>
        <w:tc>
          <w:tcPr>
            <w:tcW w:w="1437" w:type="dxa"/>
          </w:tcPr>
          <w:p w:rsidR="00FB5C03" w:rsidRDefault="00FB5C03" w:rsidP="001C724E">
            <w:r>
              <w:t>0.1000</w:t>
            </w:r>
          </w:p>
        </w:tc>
        <w:tc>
          <w:tcPr>
            <w:tcW w:w="1437" w:type="dxa"/>
          </w:tcPr>
          <w:p w:rsidR="00FB5C03" w:rsidRDefault="00FB5C03" w:rsidP="001C724E">
            <w:r>
              <w:t>0.12</w:t>
            </w:r>
          </w:p>
        </w:tc>
      </w:tr>
      <w:tr w:rsidR="00FB5C03" w:rsidTr="001C724E">
        <w:tc>
          <w:tcPr>
            <w:tcW w:w="1221" w:type="dxa"/>
          </w:tcPr>
          <w:p w:rsidR="00FB5C03" w:rsidRDefault="00FB5C03" w:rsidP="001C724E">
            <w:r>
              <w:t>3131</w:t>
            </w:r>
          </w:p>
        </w:tc>
        <w:tc>
          <w:tcPr>
            <w:tcW w:w="1167" w:type="dxa"/>
          </w:tcPr>
          <w:p w:rsidR="00FB5C03" w:rsidRDefault="00FB5C03" w:rsidP="001C724E">
            <w:r>
              <w:t>3</w:t>
            </w:r>
          </w:p>
        </w:tc>
        <w:tc>
          <w:tcPr>
            <w:tcW w:w="1437" w:type="dxa"/>
          </w:tcPr>
          <w:p w:rsidR="00FB5C03" w:rsidRDefault="00FB5C03" w:rsidP="001C724E">
            <w:r>
              <w:t>0.0006</w:t>
            </w:r>
          </w:p>
        </w:tc>
        <w:tc>
          <w:tcPr>
            <w:tcW w:w="1437" w:type="dxa"/>
          </w:tcPr>
          <w:p w:rsidR="00FB5C03" w:rsidRDefault="00FB5C03" w:rsidP="001C724E">
            <w:r>
              <w:t>0.25</w:t>
            </w:r>
          </w:p>
        </w:tc>
        <w:tc>
          <w:tcPr>
            <w:tcW w:w="1437" w:type="dxa"/>
          </w:tcPr>
          <w:p w:rsidR="00FB5C03" w:rsidRDefault="00FB5C03" w:rsidP="001C724E">
            <w:r>
              <w:t>0.1000</w:t>
            </w:r>
          </w:p>
        </w:tc>
        <w:tc>
          <w:tcPr>
            <w:tcW w:w="1437" w:type="dxa"/>
          </w:tcPr>
          <w:p w:rsidR="00FB5C03" w:rsidRDefault="00FB5C03" w:rsidP="001C724E">
            <w:r>
              <w:t>0.12</w:t>
            </w:r>
          </w:p>
        </w:tc>
      </w:tr>
      <w:tr w:rsidR="00FB5C03" w:rsidTr="001C724E">
        <w:tc>
          <w:tcPr>
            <w:tcW w:w="1221" w:type="dxa"/>
          </w:tcPr>
          <w:p w:rsidR="00FB5C03" w:rsidRDefault="00FB5C03" w:rsidP="001C724E">
            <w:r>
              <w:t>3131</w:t>
            </w:r>
          </w:p>
        </w:tc>
        <w:tc>
          <w:tcPr>
            <w:tcW w:w="1167" w:type="dxa"/>
          </w:tcPr>
          <w:p w:rsidR="00FB5C03" w:rsidRDefault="00FB5C03" w:rsidP="001C724E">
            <w:r>
              <w:t>4</w:t>
            </w:r>
          </w:p>
        </w:tc>
        <w:tc>
          <w:tcPr>
            <w:tcW w:w="1437" w:type="dxa"/>
          </w:tcPr>
          <w:p w:rsidR="00FB5C03" w:rsidRDefault="00FB5C03" w:rsidP="001C724E">
            <w:r>
              <w:t>0.0006</w:t>
            </w:r>
          </w:p>
        </w:tc>
        <w:tc>
          <w:tcPr>
            <w:tcW w:w="1437" w:type="dxa"/>
          </w:tcPr>
          <w:p w:rsidR="00FB5C03" w:rsidRDefault="00FB5C03" w:rsidP="001C724E">
            <w:r>
              <w:t>0.25</w:t>
            </w:r>
          </w:p>
        </w:tc>
        <w:tc>
          <w:tcPr>
            <w:tcW w:w="1437" w:type="dxa"/>
          </w:tcPr>
          <w:p w:rsidR="00FB5C03" w:rsidRDefault="00FB5C03" w:rsidP="001C724E">
            <w:r>
              <w:t>0.1000</w:t>
            </w:r>
          </w:p>
        </w:tc>
        <w:tc>
          <w:tcPr>
            <w:tcW w:w="1437" w:type="dxa"/>
          </w:tcPr>
          <w:p w:rsidR="00FB5C03" w:rsidRDefault="00FB5C03" w:rsidP="001C724E">
            <w:r>
              <w:t>0.12</w:t>
            </w:r>
          </w:p>
        </w:tc>
      </w:tr>
    </w:tbl>
    <w:p w:rsidR="00FB5C03" w:rsidRDefault="00FB5C03" w:rsidP="00FB5C03">
      <w:pPr>
        <w:pStyle w:val="ListParagraph"/>
        <w:numPr>
          <w:ilvl w:val="1"/>
          <w:numId w:val="8"/>
        </w:numPr>
        <w:rPr>
          <w:szCs w:val="24"/>
        </w:rPr>
      </w:pPr>
      <w:r>
        <w:rPr>
          <w:szCs w:val="24"/>
        </w:rPr>
        <w:t xml:space="preserve">Added 3138, New Castle, 3, 4 and 5 to file for </w:t>
      </w:r>
      <w:r w:rsidRPr="00E976C3">
        <w:rPr>
          <w:rFonts w:cs="Arial"/>
          <w:sz w:val="20"/>
          <w:szCs w:val="20"/>
        </w:rPr>
        <w:t>SO</w:t>
      </w:r>
      <w:r w:rsidRPr="00E976C3">
        <w:rPr>
          <w:rFonts w:cs="Arial"/>
          <w:sz w:val="20"/>
          <w:szCs w:val="20"/>
          <w:vertAlign w:val="subscript"/>
        </w:rPr>
        <w:t>2</w:t>
      </w:r>
      <w:r>
        <w:rPr>
          <w:szCs w:val="24"/>
        </w:rPr>
        <w:t xml:space="preserve"> and NOx.</w:t>
      </w:r>
    </w:p>
    <w:tbl>
      <w:tblPr>
        <w:tblStyle w:val="TableGrid"/>
        <w:tblW w:w="0" w:type="auto"/>
        <w:tblInd w:w="1440" w:type="dxa"/>
        <w:tblLook w:val="04A0" w:firstRow="1" w:lastRow="0" w:firstColumn="1" w:lastColumn="0" w:noHBand="0" w:noVBand="1"/>
      </w:tblPr>
      <w:tblGrid>
        <w:gridCol w:w="1221"/>
        <w:gridCol w:w="1167"/>
        <w:gridCol w:w="1437"/>
        <w:gridCol w:w="1437"/>
        <w:gridCol w:w="1437"/>
        <w:gridCol w:w="1437"/>
      </w:tblGrid>
      <w:tr w:rsidR="00FB5C03" w:rsidTr="001C724E">
        <w:tc>
          <w:tcPr>
            <w:tcW w:w="1221" w:type="dxa"/>
          </w:tcPr>
          <w:p w:rsidR="00FB5C03" w:rsidRDefault="00FB5C03" w:rsidP="001C724E">
            <w:r>
              <w:t>ORIS</w:t>
            </w:r>
          </w:p>
        </w:tc>
        <w:tc>
          <w:tcPr>
            <w:tcW w:w="1167" w:type="dxa"/>
          </w:tcPr>
          <w:p w:rsidR="00FB5C03" w:rsidRDefault="00FB5C03" w:rsidP="001C724E">
            <w:r>
              <w:t>Unit ID</w:t>
            </w:r>
          </w:p>
        </w:tc>
        <w:tc>
          <w:tcPr>
            <w:tcW w:w="1437" w:type="dxa"/>
          </w:tcPr>
          <w:p w:rsidR="00FB5C03" w:rsidRDefault="00FB5C03" w:rsidP="001C724E">
            <w:r>
              <w:t xml:space="preserve">OS </w:t>
            </w:r>
            <w:r w:rsidRPr="00AE2BCE">
              <w:rPr>
                <w:rFonts w:cs="Arial"/>
                <w:sz w:val="20"/>
                <w:szCs w:val="20"/>
              </w:rPr>
              <w:t>SO</w:t>
            </w:r>
            <w:r w:rsidRPr="00AE2BCE">
              <w:rPr>
                <w:rFonts w:cs="Arial"/>
                <w:sz w:val="20"/>
                <w:szCs w:val="20"/>
                <w:vertAlign w:val="subscript"/>
              </w:rPr>
              <w:t>2</w:t>
            </w:r>
            <w:r>
              <w:t xml:space="preserve"> rate, lbs/mmbtu</w:t>
            </w:r>
          </w:p>
        </w:tc>
        <w:tc>
          <w:tcPr>
            <w:tcW w:w="1437" w:type="dxa"/>
          </w:tcPr>
          <w:p w:rsidR="00FB5C03" w:rsidRDefault="00FB5C03" w:rsidP="001C724E">
            <w:r>
              <w:t xml:space="preserve">nonOS </w:t>
            </w:r>
            <w:r w:rsidRPr="00AE2BCE">
              <w:rPr>
                <w:rFonts w:cs="Arial"/>
                <w:sz w:val="20"/>
                <w:szCs w:val="20"/>
              </w:rPr>
              <w:t>SO</w:t>
            </w:r>
            <w:r w:rsidRPr="00AE2BCE">
              <w:rPr>
                <w:rFonts w:cs="Arial"/>
                <w:sz w:val="20"/>
                <w:szCs w:val="20"/>
                <w:vertAlign w:val="subscript"/>
              </w:rPr>
              <w:t>2</w:t>
            </w:r>
            <w:r>
              <w:t xml:space="preserve"> rate, lbs/mmbtu</w:t>
            </w:r>
          </w:p>
        </w:tc>
        <w:tc>
          <w:tcPr>
            <w:tcW w:w="1437" w:type="dxa"/>
          </w:tcPr>
          <w:p w:rsidR="00FB5C03" w:rsidRDefault="00FB5C03" w:rsidP="001C724E">
            <w:r>
              <w:t>OS NOx rate, lbs/mmbtu</w:t>
            </w:r>
          </w:p>
        </w:tc>
        <w:tc>
          <w:tcPr>
            <w:tcW w:w="1437" w:type="dxa"/>
          </w:tcPr>
          <w:p w:rsidR="00FB5C03" w:rsidRDefault="00FB5C03" w:rsidP="001C724E">
            <w:r>
              <w:t>nonOS NOx rate, lbs/mmbtu</w:t>
            </w:r>
          </w:p>
        </w:tc>
      </w:tr>
      <w:tr w:rsidR="00FB5C03" w:rsidTr="001C724E">
        <w:tc>
          <w:tcPr>
            <w:tcW w:w="1221" w:type="dxa"/>
          </w:tcPr>
          <w:p w:rsidR="00FB5C03" w:rsidRDefault="00FB5C03" w:rsidP="001C724E">
            <w:r>
              <w:t>3138</w:t>
            </w:r>
          </w:p>
        </w:tc>
        <w:tc>
          <w:tcPr>
            <w:tcW w:w="1167" w:type="dxa"/>
          </w:tcPr>
          <w:p w:rsidR="00FB5C03" w:rsidRDefault="00FB5C03" w:rsidP="001C724E">
            <w:r>
              <w:t>3</w:t>
            </w:r>
          </w:p>
        </w:tc>
        <w:tc>
          <w:tcPr>
            <w:tcW w:w="1437" w:type="dxa"/>
          </w:tcPr>
          <w:p w:rsidR="00FB5C03" w:rsidRDefault="00FB5C03" w:rsidP="001C724E">
            <w:r>
              <w:t>0.0006</w:t>
            </w:r>
          </w:p>
        </w:tc>
        <w:tc>
          <w:tcPr>
            <w:tcW w:w="1437" w:type="dxa"/>
          </w:tcPr>
          <w:p w:rsidR="00FB5C03" w:rsidRDefault="00FB5C03" w:rsidP="001C724E">
            <w:r>
              <w:t>0.25</w:t>
            </w:r>
          </w:p>
        </w:tc>
        <w:tc>
          <w:tcPr>
            <w:tcW w:w="1437" w:type="dxa"/>
          </w:tcPr>
          <w:p w:rsidR="00FB5C03" w:rsidRDefault="00FB5C03" w:rsidP="001C724E">
            <w:r>
              <w:t>0.1000</w:t>
            </w:r>
          </w:p>
        </w:tc>
        <w:tc>
          <w:tcPr>
            <w:tcW w:w="1437" w:type="dxa"/>
          </w:tcPr>
          <w:p w:rsidR="00FB5C03" w:rsidRDefault="00FB5C03" w:rsidP="001C724E">
            <w:r>
              <w:t>0.12</w:t>
            </w:r>
          </w:p>
        </w:tc>
      </w:tr>
      <w:tr w:rsidR="00FB5C03" w:rsidTr="001C724E">
        <w:tc>
          <w:tcPr>
            <w:tcW w:w="1221" w:type="dxa"/>
          </w:tcPr>
          <w:p w:rsidR="00FB5C03" w:rsidRDefault="00FB5C03" w:rsidP="001C724E">
            <w:r>
              <w:t>3138</w:t>
            </w:r>
          </w:p>
        </w:tc>
        <w:tc>
          <w:tcPr>
            <w:tcW w:w="1167" w:type="dxa"/>
          </w:tcPr>
          <w:p w:rsidR="00FB5C03" w:rsidRDefault="00FB5C03" w:rsidP="001C724E">
            <w:r>
              <w:t>4</w:t>
            </w:r>
          </w:p>
        </w:tc>
        <w:tc>
          <w:tcPr>
            <w:tcW w:w="1437" w:type="dxa"/>
          </w:tcPr>
          <w:p w:rsidR="00FB5C03" w:rsidRDefault="00FB5C03" w:rsidP="001C724E">
            <w:r>
              <w:t>0.0006</w:t>
            </w:r>
          </w:p>
        </w:tc>
        <w:tc>
          <w:tcPr>
            <w:tcW w:w="1437" w:type="dxa"/>
          </w:tcPr>
          <w:p w:rsidR="00FB5C03" w:rsidRDefault="00FB5C03" w:rsidP="001C724E">
            <w:r>
              <w:t>0.25</w:t>
            </w:r>
          </w:p>
        </w:tc>
        <w:tc>
          <w:tcPr>
            <w:tcW w:w="1437" w:type="dxa"/>
          </w:tcPr>
          <w:p w:rsidR="00FB5C03" w:rsidRDefault="00FB5C03" w:rsidP="001C724E">
            <w:r>
              <w:t>0.1000</w:t>
            </w:r>
          </w:p>
        </w:tc>
        <w:tc>
          <w:tcPr>
            <w:tcW w:w="1437" w:type="dxa"/>
          </w:tcPr>
          <w:p w:rsidR="00FB5C03" w:rsidRDefault="00FB5C03" w:rsidP="001C724E">
            <w:r>
              <w:t>0.12</w:t>
            </w:r>
          </w:p>
        </w:tc>
      </w:tr>
      <w:tr w:rsidR="00FB5C03" w:rsidTr="001C724E">
        <w:tc>
          <w:tcPr>
            <w:tcW w:w="1221" w:type="dxa"/>
          </w:tcPr>
          <w:p w:rsidR="00FB5C03" w:rsidRDefault="00FB5C03" w:rsidP="001C724E">
            <w:r>
              <w:t>3138</w:t>
            </w:r>
          </w:p>
        </w:tc>
        <w:tc>
          <w:tcPr>
            <w:tcW w:w="1167" w:type="dxa"/>
          </w:tcPr>
          <w:p w:rsidR="00FB5C03" w:rsidRDefault="00FB5C03" w:rsidP="001C724E">
            <w:r>
              <w:t>5</w:t>
            </w:r>
          </w:p>
        </w:tc>
        <w:tc>
          <w:tcPr>
            <w:tcW w:w="1437" w:type="dxa"/>
          </w:tcPr>
          <w:p w:rsidR="00FB5C03" w:rsidRDefault="00FB5C03" w:rsidP="001C724E">
            <w:r>
              <w:t>0.0006</w:t>
            </w:r>
          </w:p>
        </w:tc>
        <w:tc>
          <w:tcPr>
            <w:tcW w:w="1437" w:type="dxa"/>
          </w:tcPr>
          <w:p w:rsidR="00FB5C03" w:rsidRDefault="00FB5C03" w:rsidP="001C724E">
            <w:r>
              <w:t>0.25</w:t>
            </w:r>
          </w:p>
        </w:tc>
        <w:tc>
          <w:tcPr>
            <w:tcW w:w="1437" w:type="dxa"/>
          </w:tcPr>
          <w:p w:rsidR="00FB5C03" w:rsidRDefault="00FB5C03" w:rsidP="001C724E">
            <w:r>
              <w:t>0.1000</w:t>
            </w:r>
          </w:p>
        </w:tc>
        <w:tc>
          <w:tcPr>
            <w:tcW w:w="1437" w:type="dxa"/>
          </w:tcPr>
          <w:p w:rsidR="00FB5C03" w:rsidRDefault="00FB5C03" w:rsidP="001C724E">
            <w:r>
              <w:t>0.12</w:t>
            </w:r>
          </w:p>
        </w:tc>
      </w:tr>
    </w:tbl>
    <w:p w:rsidR="00FB5C03" w:rsidRDefault="00FB5C03" w:rsidP="00FB5C03"/>
    <w:p w:rsidR="00FB5C03" w:rsidRPr="002769B9" w:rsidRDefault="00FB5C03" w:rsidP="00FB5C03">
      <w:pPr>
        <w:pStyle w:val="ListParagraph"/>
        <w:numPr>
          <w:ilvl w:val="0"/>
          <w:numId w:val="8"/>
        </w:numPr>
        <w:rPr>
          <w:b/>
        </w:rPr>
      </w:pPr>
      <w:r w:rsidRPr="000C5180">
        <w:rPr>
          <w:b/>
        </w:rPr>
        <w:t>Input Variables File</w:t>
      </w:r>
      <w:r>
        <w:t xml:space="preserve"> </w:t>
      </w:r>
    </w:p>
    <w:p w:rsidR="00FB5C03" w:rsidRPr="000C5180" w:rsidRDefault="00FB5C03" w:rsidP="00FB5C03">
      <w:pPr>
        <w:pStyle w:val="ListParagraph"/>
        <w:numPr>
          <w:ilvl w:val="1"/>
          <w:numId w:val="8"/>
        </w:numPr>
        <w:rPr>
          <w:b/>
        </w:rPr>
      </w:pPr>
      <w:r>
        <w:t>Removed MROW, MROZ, and RFCM to reduce warnings in log file.</w:t>
      </w:r>
    </w:p>
    <w:p w:rsidR="00FB5C03" w:rsidRPr="00A67368" w:rsidRDefault="00FB5C03" w:rsidP="00FB5C03">
      <w:pPr>
        <w:pStyle w:val="ListParagraph"/>
        <w:numPr>
          <w:ilvl w:val="0"/>
          <w:numId w:val="8"/>
        </w:numPr>
        <w:rPr>
          <w:b/>
        </w:rPr>
      </w:pPr>
      <w:r w:rsidRPr="000C5180">
        <w:rPr>
          <w:b/>
        </w:rPr>
        <w:t>NonCAMD hourly file</w:t>
      </w:r>
      <w:r>
        <w:t xml:space="preserve"> </w:t>
      </w:r>
    </w:p>
    <w:p w:rsidR="00FB5C03" w:rsidRPr="006832F6" w:rsidRDefault="00FB5C03" w:rsidP="00FB5C03">
      <w:pPr>
        <w:pStyle w:val="ListParagraph"/>
        <w:numPr>
          <w:ilvl w:val="1"/>
          <w:numId w:val="8"/>
        </w:numPr>
        <w:rPr>
          <w:b/>
        </w:rPr>
      </w:pPr>
      <w:r w:rsidRPr="006832F6">
        <w:t xml:space="preserve">The following units had 1 hour of zero data supplied to the nonCAMD hourly file to get them to process.  </w:t>
      </w:r>
    </w:p>
    <w:tbl>
      <w:tblPr>
        <w:tblW w:w="4550" w:type="dxa"/>
        <w:jc w:val="center"/>
        <w:tblInd w:w="93" w:type="dxa"/>
        <w:tblLook w:val="04A0" w:firstRow="1" w:lastRow="0" w:firstColumn="1" w:lastColumn="0" w:noHBand="0" w:noVBand="1"/>
      </w:tblPr>
      <w:tblGrid>
        <w:gridCol w:w="728"/>
        <w:gridCol w:w="2650"/>
        <w:gridCol w:w="1368"/>
        <w:gridCol w:w="811"/>
      </w:tblGrid>
      <w:tr w:rsidR="00FB5C03" w:rsidRPr="006832F6" w:rsidTr="001C724E">
        <w:trPr>
          <w:cantSplit/>
          <w:trHeight w:val="378"/>
          <w:tblHeader/>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b/>
                <w:bCs/>
                <w:color w:val="000000"/>
                <w:sz w:val="20"/>
                <w:szCs w:val="20"/>
              </w:rPr>
            </w:pPr>
            <w:r w:rsidRPr="006832F6">
              <w:rPr>
                <w:rFonts w:ascii="Calibri" w:eastAsia="Times New Roman" w:hAnsi="Calibri" w:cs="Times New Roman"/>
                <w:b/>
                <w:bCs/>
                <w:color w:val="000000"/>
                <w:sz w:val="20"/>
                <w:szCs w:val="20"/>
              </w:rPr>
              <w:t>STATE</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b/>
                <w:bCs/>
                <w:color w:val="000000"/>
                <w:sz w:val="20"/>
                <w:szCs w:val="20"/>
              </w:rPr>
            </w:pPr>
            <w:proofErr w:type="spellStart"/>
            <w:r w:rsidRPr="006832F6">
              <w:rPr>
                <w:rFonts w:ascii="Calibri" w:eastAsia="Times New Roman" w:hAnsi="Calibri" w:cs="Times New Roman"/>
                <w:b/>
                <w:bCs/>
                <w:color w:val="000000"/>
                <w:sz w:val="20"/>
                <w:szCs w:val="20"/>
              </w:rPr>
              <w:t>FACILITY_NAME</w:t>
            </w:r>
            <w:proofErr w:type="spellEnd"/>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b/>
                <w:bCs/>
                <w:color w:val="000000"/>
                <w:sz w:val="20"/>
                <w:szCs w:val="20"/>
              </w:rPr>
            </w:pPr>
            <w:r w:rsidRPr="006832F6">
              <w:rPr>
                <w:rFonts w:ascii="Calibri" w:eastAsia="Times New Roman" w:hAnsi="Calibri" w:cs="Times New Roman"/>
                <w:b/>
                <w:bCs/>
                <w:color w:val="000000"/>
                <w:sz w:val="20"/>
                <w:szCs w:val="20"/>
              </w:rPr>
              <w:t>ORISPL_CODE</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b/>
                <w:bCs/>
                <w:color w:val="000000"/>
                <w:sz w:val="20"/>
                <w:szCs w:val="20"/>
              </w:rPr>
            </w:pPr>
            <w:r w:rsidRPr="006832F6">
              <w:rPr>
                <w:rFonts w:ascii="Calibri" w:eastAsia="Times New Roman" w:hAnsi="Calibri" w:cs="Times New Roman"/>
                <w:b/>
                <w:bCs/>
                <w:color w:val="000000"/>
                <w:sz w:val="20"/>
                <w:szCs w:val="20"/>
              </w:rPr>
              <w:t>UNITID</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CO</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Cameo</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468</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FL</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Riviera</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619</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PRV3</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FL</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Riviera</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619</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PRV4</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FL</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Avon Park</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624</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P1</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FL</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proofErr w:type="spellStart"/>
            <w:r w:rsidRPr="006832F6">
              <w:rPr>
                <w:rFonts w:ascii="Calibri" w:eastAsia="Times New Roman" w:hAnsi="Calibri" w:cs="Times New Roman"/>
                <w:color w:val="auto"/>
                <w:sz w:val="20"/>
                <w:szCs w:val="20"/>
              </w:rPr>
              <w:t>Arvah</w:t>
            </w:r>
            <w:proofErr w:type="spellEnd"/>
            <w:r w:rsidRPr="006832F6">
              <w:rPr>
                <w:rFonts w:ascii="Calibri" w:eastAsia="Times New Roman" w:hAnsi="Calibri" w:cs="Times New Roman"/>
                <w:color w:val="auto"/>
                <w:sz w:val="20"/>
                <w:szCs w:val="20"/>
              </w:rPr>
              <w:t xml:space="preserve"> B Hopkins</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688</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HP2A</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IL</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proofErr w:type="spellStart"/>
            <w:r w:rsidRPr="006832F6">
              <w:rPr>
                <w:rFonts w:ascii="Calibri" w:eastAsia="Times New Roman" w:hAnsi="Calibri" w:cs="Times New Roman"/>
                <w:color w:val="auto"/>
                <w:sz w:val="20"/>
                <w:szCs w:val="20"/>
              </w:rPr>
              <w:t>Meredosia</w:t>
            </w:r>
            <w:proofErr w:type="spellEnd"/>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864</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01</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IL</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proofErr w:type="spellStart"/>
            <w:r w:rsidRPr="006832F6">
              <w:rPr>
                <w:rFonts w:ascii="Calibri" w:eastAsia="Times New Roman" w:hAnsi="Calibri" w:cs="Times New Roman"/>
                <w:color w:val="auto"/>
                <w:sz w:val="20"/>
                <w:szCs w:val="20"/>
              </w:rPr>
              <w:t>Meredosia</w:t>
            </w:r>
            <w:proofErr w:type="spellEnd"/>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864</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02</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IL</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proofErr w:type="spellStart"/>
            <w:r w:rsidRPr="006832F6">
              <w:rPr>
                <w:rFonts w:ascii="Calibri" w:eastAsia="Times New Roman" w:hAnsi="Calibri" w:cs="Times New Roman"/>
                <w:color w:val="auto"/>
                <w:sz w:val="20"/>
                <w:szCs w:val="20"/>
              </w:rPr>
              <w:t>Meredosia</w:t>
            </w:r>
            <w:proofErr w:type="spellEnd"/>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864</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03</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IL</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proofErr w:type="spellStart"/>
            <w:r w:rsidRPr="006832F6">
              <w:rPr>
                <w:rFonts w:ascii="Calibri" w:eastAsia="Times New Roman" w:hAnsi="Calibri" w:cs="Times New Roman"/>
                <w:color w:val="auto"/>
                <w:sz w:val="20"/>
                <w:szCs w:val="20"/>
              </w:rPr>
              <w:t>Meredosia</w:t>
            </w:r>
            <w:proofErr w:type="spellEnd"/>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864</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04</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KS</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Hutchinson Energy Center</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1248</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CT-1</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KS</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Hutchinson Energy Center</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1248</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CT-2</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KS</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Hutchinson Energy Center</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1248</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CT-3</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KS</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Hutchinson Energy Center</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1248</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CT-4</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MI</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proofErr w:type="spellStart"/>
            <w:r w:rsidRPr="006832F6">
              <w:rPr>
                <w:rFonts w:ascii="Calibri" w:eastAsia="Times New Roman" w:hAnsi="Calibri" w:cs="Times New Roman"/>
                <w:color w:val="auto"/>
                <w:sz w:val="20"/>
                <w:szCs w:val="20"/>
              </w:rPr>
              <w:t>Mistersky</w:t>
            </w:r>
            <w:proofErr w:type="spellEnd"/>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1822</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6</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MI</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proofErr w:type="spellStart"/>
            <w:r w:rsidRPr="006832F6">
              <w:rPr>
                <w:rFonts w:ascii="Calibri" w:eastAsia="Times New Roman" w:hAnsi="Calibri" w:cs="Times New Roman"/>
                <w:color w:val="auto"/>
                <w:sz w:val="20"/>
                <w:szCs w:val="20"/>
              </w:rPr>
              <w:t>Mistersky</w:t>
            </w:r>
            <w:proofErr w:type="spellEnd"/>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1822</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7</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MS</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Chevron Cogenerating Station</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2047</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AA001</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MS</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Chevron Cogenerating Station</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2047</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AA002</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lastRenderedPageBreak/>
              <w:t>MS</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Chevron Cogenerating Station</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2047</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AA003</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MS</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Chevron Cogenerating Station</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2047</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AA004</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MS</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proofErr w:type="spellStart"/>
            <w:r w:rsidRPr="006832F6">
              <w:rPr>
                <w:rFonts w:ascii="Calibri" w:eastAsia="Times New Roman" w:hAnsi="Calibri" w:cs="Times New Roman"/>
                <w:color w:val="auto"/>
                <w:sz w:val="20"/>
                <w:szCs w:val="20"/>
              </w:rPr>
              <w:t>Sweatt</w:t>
            </w:r>
            <w:proofErr w:type="spellEnd"/>
            <w:r w:rsidRPr="006832F6">
              <w:rPr>
                <w:rFonts w:ascii="Calibri" w:eastAsia="Times New Roman" w:hAnsi="Calibri" w:cs="Times New Roman"/>
                <w:color w:val="auto"/>
                <w:sz w:val="20"/>
                <w:szCs w:val="20"/>
              </w:rPr>
              <w:t xml:space="preserve"> Electric Generating Plant</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2048</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AA003</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MS</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Rex Brown</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2053</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AA001</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MS</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Moselle Generating Plant</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2070</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AA008</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MS</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Moselle Generating Plant</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2070</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AA009</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MS</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Moselle Generating Plant</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2070</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AA010</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MS</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Moselle Generating Plant</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2070</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AA011</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NC</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Buck</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2720</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5</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NC</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Buck</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2720</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6</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NC</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Buck</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2720</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7</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NC</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Buck</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2720</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9C</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NC</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Cliffside</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2721</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1</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NC</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Cliffside</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2721</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NC</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Cliffside</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2721</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3</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NC</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Cliffside</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2721</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4</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OH</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R E Burger</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2864</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5</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OH</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R E Burger</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2864</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6</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TX</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Permian Basin</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3494</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5</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CT</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AES Thames</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10675</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proofErr w:type="spellStart"/>
            <w:r w:rsidRPr="006832F6">
              <w:rPr>
                <w:rFonts w:ascii="Calibri" w:eastAsia="Times New Roman" w:hAnsi="Calibri" w:cs="Times New Roman"/>
                <w:color w:val="auto"/>
                <w:sz w:val="20"/>
                <w:szCs w:val="20"/>
              </w:rPr>
              <w:t>UNITA</w:t>
            </w:r>
            <w:proofErr w:type="spellEnd"/>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CT</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AES Thames</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10675</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proofErr w:type="spellStart"/>
            <w:r w:rsidRPr="006832F6">
              <w:rPr>
                <w:rFonts w:ascii="Calibri" w:eastAsia="Times New Roman" w:hAnsi="Calibri" w:cs="Times New Roman"/>
                <w:color w:val="auto"/>
                <w:sz w:val="20"/>
                <w:szCs w:val="20"/>
              </w:rPr>
              <w:t>UNITB</w:t>
            </w:r>
            <w:proofErr w:type="spellEnd"/>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WA</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Ferndale Generating Station</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54537</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CT-1A</w:t>
            </w:r>
          </w:p>
        </w:tc>
      </w:tr>
      <w:tr w:rsidR="00FB5C03" w:rsidRPr="006832F6" w:rsidTr="001C724E">
        <w:trPr>
          <w:trHeight w:val="276"/>
          <w:jc w:val="center"/>
        </w:trPr>
        <w:tc>
          <w:tcPr>
            <w:tcW w:w="62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WA</w:t>
            </w:r>
          </w:p>
        </w:tc>
        <w:tc>
          <w:tcPr>
            <w:tcW w:w="265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Ferndale Generating Station</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54537</w:t>
            </w:r>
          </w:p>
        </w:tc>
        <w:tc>
          <w:tcPr>
            <w:tcW w:w="640" w:type="dxa"/>
            <w:tcBorders>
              <w:top w:val="nil"/>
              <w:left w:val="nil"/>
              <w:bottom w:val="nil"/>
              <w:right w:val="nil"/>
            </w:tcBorders>
            <w:shd w:val="clear" w:color="auto" w:fill="auto"/>
            <w:noWrap/>
            <w:vAlign w:val="bottom"/>
            <w:hideMark/>
          </w:tcPr>
          <w:p w:rsidR="00FB5C03" w:rsidRPr="006832F6" w:rsidRDefault="00FB5C03" w:rsidP="001C724E">
            <w:pPr>
              <w:spacing w:line="240" w:lineRule="auto"/>
              <w:rPr>
                <w:rFonts w:ascii="Calibri" w:eastAsia="Times New Roman" w:hAnsi="Calibri" w:cs="Times New Roman"/>
                <w:color w:val="auto"/>
                <w:sz w:val="20"/>
                <w:szCs w:val="20"/>
              </w:rPr>
            </w:pPr>
            <w:r w:rsidRPr="006832F6">
              <w:rPr>
                <w:rFonts w:ascii="Calibri" w:eastAsia="Times New Roman" w:hAnsi="Calibri" w:cs="Times New Roman"/>
                <w:color w:val="auto"/>
                <w:sz w:val="20"/>
                <w:szCs w:val="20"/>
              </w:rPr>
              <w:t>CT-1B</w:t>
            </w:r>
          </w:p>
        </w:tc>
      </w:tr>
    </w:tbl>
    <w:p w:rsidR="00FB5C03" w:rsidRPr="006832F6" w:rsidRDefault="00FB5C03" w:rsidP="00FB5C03">
      <w:pPr>
        <w:rPr>
          <w:b/>
          <w:highlight w:val="yellow"/>
        </w:rPr>
      </w:pPr>
    </w:p>
    <w:p w:rsidR="00FB5C03" w:rsidRPr="00FB5C03" w:rsidRDefault="00FB5C03" w:rsidP="00FB5C03">
      <w:pPr>
        <w:pStyle w:val="ListParagraph"/>
        <w:numPr>
          <w:ilvl w:val="0"/>
          <w:numId w:val="8"/>
        </w:numPr>
        <w:rPr>
          <w:b/>
        </w:rPr>
      </w:pPr>
      <w:r>
        <w:rPr>
          <w:b/>
        </w:rPr>
        <w:t xml:space="preserve">State and Group Total Files </w:t>
      </w:r>
      <w:r>
        <w:t>– no change from 2.5L</w:t>
      </w:r>
    </w:p>
    <w:p w:rsidR="00FB5C03" w:rsidRDefault="00FB5C03" w:rsidP="00FB5C03">
      <w:pPr>
        <w:pStyle w:val="ListParagraph"/>
        <w:rPr>
          <w:b/>
        </w:rPr>
      </w:pPr>
    </w:p>
    <w:p w:rsidR="00FB5C03" w:rsidRPr="00FB5C03" w:rsidRDefault="00FB5C03" w:rsidP="00FB5C03">
      <w:pPr>
        <w:pStyle w:val="ListParagraph"/>
        <w:rPr>
          <w:b/>
        </w:rPr>
      </w:pPr>
      <w:r>
        <w:rPr>
          <w:noProof/>
        </w:rPr>
        <mc:AlternateContent>
          <mc:Choice Requires="wps">
            <w:drawing>
              <wp:anchor distT="0" distB="0" distL="114300" distR="114300" simplePos="0" relativeHeight="251664384" behindDoc="0" locked="0" layoutInCell="1" allowOverlap="1" wp14:anchorId="160396DE" wp14:editId="22BF881C">
                <wp:simplePos x="0" y="0"/>
                <wp:positionH relativeFrom="column">
                  <wp:posOffset>47624</wp:posOffset>
                </wp:positionH>
                <wp:positionV relativeFrom="paragraph">
                  <wp:posOffset>65405</wp:posOffset>
                </wp:positionV>
                <wp:extent cx="6010275" cy="0"/>
                <wp:effectExtent l="0" t="19050" r="9525" b="19050"/>
                <wp:wrapNone/>
                <wp:docPr id="5" name="Straight Connector 5"/>
                <wp:cNvGraphicFramePr/>
                <a:graphic xmlns:a="http://schemas.openxmlformats.org/drawingml/2006/main">
                  <a:graphicData uri="http://schemas.microsoft.com/office/word/2010/wordprocessingShape">
                    <wps:wsp>
                      <wps:cNvCnPr/>
                      <wps:spPr>
                        <a:xfrm>
                          <a:off x="0" y="0"/>
                          <a:ext cx="60102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75pt,5.15pt" to="47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mYrwQEAANQDAAAOAAAAZHJzL2Uyb0RvYy54bWysU02P0zAQvSPxHyzfqZOiXVZR0z10BRcE&#10;FQs/wOuMG0v+0tg06b9n7LbZFSAhEBfH9syb9954srmfnWVHwGSC73m7ajgDr8Jg/KHn376+f3PH&#10;WcrSD9IGDz0/QeL329evNlPsYB3GYAdARkV86qbY8zHn2AmR1AhOplWI4CmoAzqZ6YgHMaCcqLqz&#10;Yt00t2IKOEQMClKi24dzkG9rfa1B5c9aJ8jM9py05bpiXZ/KKrYb2R1QxtGoiwz5DyqcNJ5Il1IP&#10;Mkv2Hc0vpZxRGFLQeaWCE0Fro6B6IDdt85Obx1FGqF6oOSkubUr/r6z6dNwjM0PPbzjz0tETPWaU&#10;5jBmtgveUwMDspvSpymmjtJ3fo+XU4p7LKZnja58yQ6ba29PS29hzkzR5S3ZW78jEnWNiWdgxJQ/&#10;QHCsbHpujS+2ZSePH1MmMkq9ppRr69nU87d3bVMfUBRlZy11l08WzmlfQJM3Ym9ruTpVsLPIjpLm&#10;QSoFPrfFGxFYT9kFpo21C7D5M/CSX6BQJ+5vwAuiMgefF7AzPuDv2PN8lazP+ST/he+yfQrDqb5S&#10;DdDoVIeXMS+z+fJc4c8/4/YHAAAA//8DAFBLAwQUAAYACAAAACEA38oDCtsAAAAHAQAADwAAAGRy&#10;cy9kb3ducmV2LnhtbEyPzU7DMBCE70i8g7VI3KjDTymEOBWqQHDohRb1vI2XJBCvI9tJA0/PIg5w&#10;3JnR7DfFcnKdGinE1rOB81kGirjytuXawOv28ewGVEzIFjvPZOCTIizL46MCc+sP/ELjJtVKSjjm&#10;aKBJqc+1jlVDDuPM98TivfngMMkZam0DHqTcdfoiy661w5blQ4M9rRqqPjaDM1C7J/ee/HPY4sNu&#10;WIxfq2q3bo05PZnu70AlmtJfGH7wBR1KYdr7gW1UnYHFXIIiZ5egxL6dX8m0/a+gy0L/5y+/AQAA&#10;//8DAFBLAQItABQABgAIAAAAIQC2gziS/gAAAOEBAAATAAAAAAAAAAAAAAAAAAAAAABbQ29udGVu&#10;dF9UeXBlc10ueG1sUEsBAi0AFAAGAAgAAAAhADj9If/WAAAAlAEAAAsAAAAAAAAAAAAAAAAALwEA&#10;AF9yZWxzLy5yZWxzUEsBAi0AFAAGAAgAAAAhAIMWZivBAQAA1AMAAA4AAAAAAAAAAAAAAAAALgIA&#10;AGRycy9lMm9Eb2MueG1sUEsBAi0AFAAGAAgAAAAhAN/KAwrbAAAABwEAAA8AAAAAAAAAAAAAAAAA&#10;GwQAAGRycy9kb3ducmV2LnhtbFBLBQYAAAAABAAEAPMAAAAjBQAAAAA=&#10;" strokecolor="#4579b8 [3044]" strokeweight="3pt"/>
            </w:pict>
          </mc:Fallback>
        </mc:AlternateContent>
      </w:r>
    </w:p>
    <w:p w:rsidR="00FB5C03" w:rsidRDefault="00FB5C03" w:rsidP="00FB5C03">
      <w:pPr>
        <w:pStyle w:val="ListParagraph"/>
        <w:ind w:left="0"/>
        <w:rPr>
          <w:b/>
          <w:sz w:val="28"/>
          <w:szCs w:val="28"/>
        </w:rPr>
      </w:pPr>
      <w:r w:rsidRPr="00D46120">
        <w:rPr>
          <w:b/>
          <w:sz w:val="28"/>
          <w:szCs w:val="28"/>
        </w:rPr>
        <w:t xml:space="preserve">Changes and Updates from </w:t>
      </w:r>
      <w:r>
        <w:rPr>
          <w:b/>
          <w:sz w:val="28"/>
          <w:szCs w:val="28"/>
        </w:rPr>
        <w:t>2.4 to 2.5 Reference Case</w:t>
      </w:r>
      <w:r w:rsidRPr="00D46120">
        <w:rPr>
          <w:b/>
          <w:sz w:val="28"/>
          <w:szCs w:val="28"/>
        </w:rPr>
        <w:t>:</w:t>
      </w:r>
    </w:p>
    <w:p w:rsidR="00FB5C03" w:rsidRDefault="00FB5C03" w:rsidP="00FB5C03">
      <w:pPr>
        <w:pStyle w:val="ListParagraph"/>
        <w:ind w:left="0"/>
        <w:rPr>
          <w:b/>
          <w:sz w:val="28"/>
          <w:szCs w:val="28"/>
        </w:rPr>
      </w:pPr>
    </w:p>
    <w:p w:rsidR="00FB5C03" w:rsidRPr="00DC7223" w:rsidRDefault="00FB5C03" w:rsidP="00FB5C03">
      <w:pPr>
        <w:pStyle w:val="ListParagraph"/>
        <w:numPr>
          <w:ilvl w:val="0"/>
          <w:numId w:val="8"/>
        </w:numPr>
        <w:rPr>
          <w:b/>
        </w:rPr>
      </w:pPr>
      <w:proofErr w:type="gramStart"/>
      <w:r w:rsidRPr="00DC7223">
        <w:rPr>
          <w:b/>
        </w:rPr>
        <w:t xml:space="preserve">UAF </w:t>
      </w:r>
      <w:r w:rsidRPr="00DC7223">
        <w:t xml:space="preserve"> is</w:t>
      </w:r>
      <w:proofErr w:type="gramEnd"/>
      <w:r w:rsidRPr="00DC7223">
        <w:t xml:space="preserve"> based off the UAF documentation file 2011BASEUnit_Availability_V2.5_15HOGApril</w:t>
      </w:r>
      <w:r>
        <w:t>28</w:t>
      </w:r>
      <w:r w:rsidRPr="00DC7223">
        <w:t xml:space="preserve">2016_code1_01.zip. </w:t>
      </w:r>
    </w:p>
    <w:p w:rsidR="00FB5C03" w:rsidRPr="00DC7223" w:rsidRDefault="00FB5C03" w:rsidP="00FB5C03">
      <w:pPr>
        <w:pStyle w:val="ListParagraph"/>
        <w:numPr>
          <w:ilvl w:val="1"/>
          <w:numId w:val="8"/>
        </w:numPr>
        <w:rPr>
          <w:b/>
        </w:rPr>
      </w:pPr>
      <w:r w:rsidRPr="00DC7223">
        <w:t xml:space="preserve">Any units with an offline_start_date of 01/01/2030 had the date switched to 01/01/2050 to facilitate a 2030 projection year.  Any units with an offline_start_date of 2030 had the date switched to 2050.  </w:t>
      </w:r>
    </w:p>
    <w:p w:rsidR="00FB5C03" w:rsidRPr="00DC7223" w:rsidRDefault="00FB5C03" w:rsidP="00FB5C03">
      <w:pPr>
        <w:pStyle w:val="ListParagraph"/>
        <w:numPr>
          <w:ilvl w:val="0"/>
          <w:numId w:val="8"/>
        </w:numPr>
        <w:rPr>
          <w:b/>
        </w:rPr>
      </w:pPr>
      <w:r w:rsidRPr="00DC7223">
        <w:rPr>
          <w:b/>
        </w:rPr>
        <w:t>Controls File</w:t>
      </w:r>
      <w:r w:rsidRPr="00DC7223">
        <w:t xml:space="preserve"> is based off the controls documentation file called 2011BASEControl_File_v2.5_15HOGApril</w:t>
      </w:r>
      <w:r>
        <w:t>28</w:t>
      </w:r>
      <w:r w:rsidRPr="00DC7223">
        <w:t>2016_code1_01.zip.</w:t>
      </w:r>
    </w:p>
    <w:p w:rsidR="00FB5C03" w:rsidRPr="00DC7223" w:rsidRDefault="00FB5C03" w:rsidP="00FB5C03">
      <w:pPr>
        <w:pStyle w:val="ListParagraph"/>
        <w:numPr>
          <w:ilvl w:val="1"/>
          <w:numId w:val="8"/>
        </w:numPr>
        <w:rPr>
          <w:b/>
        </w:rPr>
      </w:pPr>
      <w:r w:rsidRPr="00DC7223">
        <w:t>Any control end date of 01/01/2030 or blank control end date was changed to 01/01/2050</w:t>
      </w:r>
    </w:p>
    <w:p w:rsidR="00FB5C03" w:rsidRPr="005E7DED" w:rsidRDefault="00FB5C03" w:rsidP="00FB5C03">
      <w:pPr>
        <w:pStyle w:val="ListParagraph"/>
        <w:numPr>
          <w:ilvl w:val="0"/>
          <w:numId w:val="8"/>
        </w:numPr>
        <w:rPr>
          <w:b/>
        </w:rPr>
      </w:pPr>
      <w:r>
        <w:rPr>
          <w:b/>
        </w:rPr>
        <w:t xml:space="preserve">Growth Rates File </w:t>
      </w:r>
      <w:r>
        <w:t xml:space="preserve">is based off the AEO2015 ESD2015 GRs.xlsx file from Tom Shanley, provided via email dated 3/21/2016 </w:t>
      </w:r>
    </w:p>
    <w:p w:rsidR="00FB5C03" w:rsidRDefault="00FB5C03" w:rsidP="00FB5C03">
      <w:pPr>
        <w:pStyle w:val="ListParagraph"/>
        <w:numPr>
          <w:ilvl w:val="1"/>
          <w:numId w:val="8"/>
        </w:numPr>
      </w:pPr>
      <w:r>
        <w:lastRenderedPageBreak/>
        <w:t>For SRVC, NC provided annual and peak growth rates in the June 30, 2015 memo from the SC, NC, VA, and WV air directors to ERTAC.  The TPs for combined cycle were set at 200 and 5000 to reflect the base load nature of combined cycle.  The TPs were set at 10/2000 for boiler gas to push the huge increase into the middle range of the hours.  In 2028 and 2030, the boiler gas peak growth rate was reduced from 069 to 3.067 to reflect the retirement of two small coal-to-gas converted boilers. (SAME AS 2.4).  NC provided growth rates from this set of information for years 2020 and 2021 in a March 31, 2016 email (Paula Hemmer to Doris McLeod).  Data is in spreadsheet called SRVC Fuel Growth Rate – Final – with Additional Years 03-30-2016.xlsx.</w:t>
      </w:r>
    </w:p>
    <w:p w:rsidR="00FB5C03" w:rsidRPr="00007BE0" w:rsidRDefault="00FB5C03" w:rsidP="00FB5C03">
      <w:pPr>
        <w:pStyle w:val="ListParagraph"/>
        <w:numPr>
          <w:ilvl w:val="1"/>
          <w:numId w:val="8"/>
        </w:numPr>
        <w:rPr>
          <w:b/>
        </w:rPr>
      </w:pPr>
      <w:r>
        <w:t>NYCW 2017 GRs based on the NY memo to MARAMA, dated 02-11-2016.  For 2018, 2019, 2021, 2023, 2028, and 2030, NYCW GRs based on the NY memo to MARAMA dated 3-31-2016.</w:t>
      </w:r>
    </w:p>
    <w:p w:rsidR="00FB5C03" w:rsidRPr="009D61D2" w:rsidRDefault="00FB5C03" w:rsidP="00FB5C03">
      <w:pPr>
        <w:pStyle w:val="ListParagraph"/>
        <w:numPr>
          <w:ilvl w:val="0"/>
          <w:numId w:val="8"/>
        </w:numPr>
      </w:pPr>
      <w:r w:rsidRPr="00007BE0">
        <w:rPr>
          <w:b/>
        </w:rPr>
        <w:t>Seasonal Controls Fil</w:t>
      </w:r>
      <w:r w:rsidRPr="000C5180">
        <w:rPr>
          <w:b/>
        </w:rPr>
        <w:t>e</w:t>
      </w:r>
      <w:r>
        <w:t xml:space="preserve"> – based </w:t>
      </w:r>
      <w:r w:rsidRPr="009D61D2">
        <w:t>off 2.4</w:t>
      </w:r>
    </w:p>
    <w:p w:rsidR="00FB5C03" w:rsidRPr="00130623" w:rsidRDefault="00FB5C03" w:rsidP="00FB5C03">
      <w:pPr>
        <w:pStyle w:val="ListParagraph"/>
        <w:numPr>
          <w:ilvl w:val="1"/>
          <w:numId w:val="8"/>
        </w:numPr>
        <w:rPr>
          <w:b/>
        </w:rPr>
      </w:pPr>
      <w:r>
        <w:t xml:space="preserve"> Brunner Island (ORIS 3140) Units 1, 2 and 3 were added to the seasonal controls file based on PA's input (email chain from Julie McDill and Randy Bordner dated 4/8/2016.  Months 5-9, 0.1 lbs/mmbtu NOx and 0.0006 lbs/mmbtu </w:t>
      </w:r>
      <w:r w:rsidRPr="0053377D">
        <w:t>SO</w:t>
      </w:r>
      <w:r w:rsidRPr="0053377D">
        <w:rPr>
          <w:vertAlign w:val="subscript"/>
        </w:rPr>
        <w:t>2</w:t>
      </w:r>
      <w:r>
        <w:t xml:space="preserve"> were used to represent natural gas firing.  Other months 0.3 lbs/mmbtu NOx and 0.39 lbs/mmbtu </w:t>
      </w:r>
      <w:r w:rsidRPr="0053377D">
        <w:t>SO</w:t>
      </w:r>
      <w:r w:rsidRPr="0053377D">
        <w:rPr>
          <w:vertAlign w:val="subscript"/>
        </w:rPr>
        <w:t>2</w:t>
      </w:r>
      <w:r>
        <w:t xml:space="preserve"> for coal firing.</w:t>
      </w:r>
    </w:p>
    <w:p w:rsidR="00FB5C03" w:rsidRPr="000C5180" w:rsidRDefault="00FB5C03" w:rsidP="00FB5C03">
      <w:pPr>
        <w:pStyle w:val="ListParagraph"/>
        <w:numPr>
          <w:ilvl w:val="1"/>
          <w:numId w:val="8"/>
        </w:numPr>
        <w:rPr>
          <w:b/>
        </w:rPr>
      </w:pPr>
      <w:r>
        <w:t xml:space="preserve">All </w:t>
      </w:r>
      <w:proofErr w:type="spellStart"/>
      <w:r>
        <w:t>factor_end_date</w:t>
      </w:r>
      <w:proofErr w:type="spellEnd"/>
      <w:r>
        <w:t xml:space="preserve"> values were changed from 12/31/2030 to 12/31/2050.</w:t>
      </w:r>
    </w:p>
    <w:p w:rsidR="00FB5C03" w:rsidRPr="000C5180" w:rsidRDefault="00FB5C03" w:rsidP="00FB5C03">
      <w:pPr>
        <w:pStyle w:val="ListParagraph"/>
        <w:numPr>
          <w:ilvl w:val="0"/>
          <w:numId w:val="8"/>
        </w:numPr>
        <w:rPr>
          <w:b/>
        </w:rPr>
      </w:pPr>
      <w:r w:rsidRPr="000C5180">
        <w:rPr>
          <w:b/>
        </w:rPr>
        <w:t>Input Variables File</w:t>
      </w:r>
      <w:r>
        <w:t xml:space="preserve"> is identical to 2.4.</w:t>
      </w:r>
    </w:p>
    <w:p w:rsidR="00FB5C03" w:rsidRPr="000C5180" w:rsidRDefault="00FB5C03" w:rsidP="00FB5C03">
      <w:pPr>
        <w:pStyle w:val="ListParagraph"/>
        <w:numPr>
          <w:ilvl w:val="0"/>
          <w:numId w:val="8"/>
        </w:numPr>
        <w:rPr>
          <w:b/>
        </w:rPr>
      </w:pPr>
      <w:r w:rsidRPr="000C5180">
        <w:rPr>
          <w:b/>
        </w:rPr>
        <w:t>NonCAMD hourly file</w:t>
      </w:r>
      <w:r>
        <w:t xml:space="preserve"> is identical to 2.4.</w:t>
      </w:r>
    </w:p>
    <w:p w:rsidR="00FB5C03" w:rsidRPr="00ED532F" w:rsidRDefault="00FB5C03" w:rsidP="00FB5C03">
      <w:pPr>
        <w:pStyle w:val="ListParagraph"/>
        <w:numPr>
          <w:ilvl w:val="0"/>
          <w:numId w:val="8"/>
        </w:numPr>
        <w:rPr>
          <w:b/>
        </w:rPr>
      </w:pPr>
      <w:r>
        <w:rPr>
          <w:b/>
        </w:rPr>
        <w:t xml:space="preserve">State and Group Total Files </w:t>
      </w:r>
      <w:r>
        <w:t xml:space="preserve">included line items to identify state proposed assurance levels and regional the proposed budget from the CSAPR-08 proposed rule.  All other line items remain the same as 2.4.  </w:t>
      </w:r>
    </w:p>
    <w:p w:rsidR="00FB5C03" w:rsidRDefault="00FB5C03" w:rsidP="00FB5C03"/>
    <w:p w:rsidR="00FB5C03" w:rsidRDefault="00FB5C03" w:rsidP="00FB5C03">
      <w:pPr>
        <w:rPr>
          <w:b/>
        </w:rPr>
      </w:pPr>
      <w:r>
        <w:rPr>
          <w:b/>
          <w:noProof/>
        </w:rPr>
        <mc:AlternateContent>
          <mc:Choice Requires="wps">
            <w:drawing>
              <wp:anchor distT="0" distB="0" distL="114300" distR="114300" simplePos="0" relativeHeight="251666432" behindDoc="0" locked="0" layoutInCell="1" allowOverlap="1" wp14:anchorId="3FCA6571" wp14:editId="52A26D73">
                <wp:simplePos x="0" y="0"/>
                <wp:positionH relativeFrom="column">
                  <wp:posOffset>47624</wp:posOffset>
                </wp:positionH>
                <wp:positionV relativeFrom="paragraph">
                  <wp:posOffset>65405</wp:posOffset>
                </wp:positionV>
                <wp:extent cx="6010275" cy="0"/>
                <wp:effectExtent l="0" t="19050" r="9525" b="19050"/>
                <wp:wrapNone/>
                <wp:docPr id="6" name="Straight Connector 6"/>
                <wp:cNvGraphicFramePr/>
                <a:graphic xmlns:a="http://schemas.openxmlformats.org/drawingml/2006/main">
                  <a:graphicData uri="http://schemas.microsoft.com/office/word/2010/wordprocessingShape">
                    <wps:wsp>
                      <wps:cNvCnPr/>
                      <wps:spPr>
                        <a:xfrm>
                          <a:off x="0" y="0"/>
                          <a:ext cx="60102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75pt,5.15pt" to="47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ZDuwgEAANQDAAAOAAAAZHJzL2Uyb0RvYy54bWysU8tu2zAQvBfIPxC815Jc1A0Eyzk4aC5F&#10;azTNBzDU0iLAF5asJf99l7StBE2AokEuFMmdmd1ZrtY3kzXsABi1dx1vFjVn4KTvtdt3/OHX14/X&#10;nMUkXC+Md9DxI0R+s7n6sB5DC0s/eNMDMhJxsR1Dx4eUQltVUQ5gRVz4AI6CyqMViY64r3oUI6lb&#10;Uy3relWNHvuAXkKMdHt7CvJN0VcKZPqhVITETMeptlRWLOtjXqvNWrR7FGHQ8lyGeEMVVmhHSWep&#10;W5EE+436hZTVEn30Ki2kt5VXSksoHshNU//l5n4QAYoXak4Mc5vi+8nK74cdMt13fMWZE5ae6D6h&#10;0Pshsa13jhroka1yn8YQW4Jv3Q7Ppxh2mE1PCm3+kh02ld4e597ClJikyxXZW375zJm8xKonYsCY&#10;7sBbljcdN9pl26IVh28xUTKCXiD52jg2dvzTdVOXB6xyZadayi4dDZxgP0GRN8reFLkyVbA1yA6C&#10;5kFICS412RslMI7Qmaa0MTOx/jfxjM9UKBP3P+SZUTJ7l2ay1c7ja9nTdClZnfBU/jPfefvo+2N5&#10;pRKg0SkOz2OeZ/P5udCffsbNHwAAAP//AwBQSwMEFAAGAAgAAAAhAN/KAwrbAAAABwEAAA8AAABk&#10;cnMvZG93bnJldi54bWxMj81OwzAQhO9IvIO1SNyow08phDgVqkBw6IUW9byNlyQQryPbSQNPzyIO&#10;cNyZ0ew3xXJynRopxNazgfNZBoq48rbl2sDr9vHsBlRMyBY7z2TgkyIsy+OjAnPrD/xC4ybVSko4&#10;5migSanPtY5VQw7jzPfE4r354DDJGWptAx6k3HX6IsuutcOW5UODPa0aqj42gzNQuyf3nvxz2OLD&#10;bliMX6tqt26NOT2Z7u9AJZrSXxh+8AUdSmHa+4FtVJ2BxVyCImeXoMS+nV/JtP2voMtC/+cvvwEA&#10;AP//AwBQSwECLQAUAAYACAAAACEAtoM4kv4AAADhAQAAEwAAAAAAAAAAAAAAAAAAAAAAW0NvbnRl&#10;bnRfVHlwZXNdLnhtbFBLAQItABQABgAIAAAAIQA4/SH/1gAAAJQBAAALAAAAAAAAAAAAAAAAAC8B&#10;AABfcmVscy8ucmVsc1BLAQItABQABgAIAAAAIQCgIZDuwgEAANQDAAAOAAAAAAAAAAAAAAAAAC4C&#10;AABkcnMvZTJvRG9jLnhtbFBLAQItABQABgAIAAAAIQDfygMK2wAAAAcBAAAPAAAAAAAAAAAAAAAA&#10;ABwEAABkcnMvZG93bnJldi54bWxQSwUGAAAAAAQABADzAAAAJAUAAAAA&#10;" strokecolor="#4579b8 [3044]" strokeweight="3pt"/>
            </w:pict>
          </mc:Fallback>
        </mc:AlternateContent>
      </w:r>
    </w:p>
    <w:p w:rsidR="00FB5C03" w:rsidRPr="00D46120" w:rsidRDefault="00FB5C03" w:rsidP="00FB5C03">
      <w:pPr>
        <w:pStyle w:val="ListParagraph"/>
        <w:ind w:left="0"/>
      </w:pPr>
      <w:r w:rsidRPr="00D46120">
        <w:rPr>
          <w:b/>
          <w:sz w:val="28"/>
          <w:szCs w:val="28"/>
        </w:rPr>
        <w:t xml:space="preserve">Changes and Updates from </w:t>
      </w:r>
      <w:r>
        <w:rPr>
          <w:b/>
          <w:sz w:val="28"/>
          <w:szCs w:val="28"/>
        </w:rPr>
        <w:t>2.3 to 2.4 Reference Case</w:t>
      </w:r>
      <w:r w:rsidRPr="00D46120">
        <w:rPr>
          <w:b/>
          <w:sz w:val="28"/>
          <w:szCs w:val="28"/>
        </w:rPr>
        <w:t>:</w:t>
      </w:r>
    </w:p>
    <w:p w:rsidR="00FB5C03" w:rsidRPr="00FB5C03" w:rsidRDefault="00FB5C03" w:rsidP="00FB5C03">
      <w:pPr>
        <w:pStyle w:val="ListParagraph"/>
        <w:numPr>
          <w:ilvl w:val="0"/>
          <w:numId w:val="6"/>
        </w:numPr>
      </w:pPr>
      <w:r w:rsidRPr="00FB5C03">
        <w:t xml:space="preserve">Control file is based on the documentation control file received from Wendy:  2011BASEControl File_v2.4_14June92015_code1_01.zip. </w:t>
      </w:r>
    </w:p>
    <w:p w:rsidR="00FB5C03" w:rsidRPr="00FB5C03" w:rsidRDefault="00FB5C03" w:rsidP="00FB5C03">
      <w:pPr>
        <w:pStyle w:val="ListParagraph"/>
        <w:numPr>
          <w:ilvl w:val="0"/>
          <w:numId w:val="6"/>
        </w:numPr>
      </w:pPr>
      <w:r w:rsidRPr="00FB5C03">
        <w:t>Seasonal controls are the same as 2.3 (GA and VA units).</w:t>
      </w:r>
    </w:p>
    <w:p w:rsidR="00FB5C03" w:rsidRPr="00FB5C03" w:rsidRDefault="00FB5C03" w:rsidP="00FB5C03">
      <w:pPr>
        <w:pStyle w:val="ListParagraph"/>
        <w:numPr>
          <w:ilvl w:val="0"/>
          <w:numId w:val="6"/>
        </w:numPr>
      </w:pPr>
      <w:r w:rsidRPr="00FB5C03">
        <w:t>UAF is based on the documentation UAF received from Wendy:  2011BASEUnit_Availability_v2.4_14June 92015_code1_01.zip</w:t>
      </w:r>
    </w:p>
    <w:p w:rsidR="00FB5C03" w:rsidRDefault="00FB5C03" w:rsidP="00FB5C03">
      <w:pPr>
        <w:pStyle w:val="ListParagraph"/>
        <w:numPr>
          <w:ilvl w:val="1"/>
          <w:numId w:val="6"/>
        </w:numPr>
      </w:pPr>
      <w:r w:rsidRPr="00FB5C03">
        <w:t>All SPPR and SRDA coal fired units were changed to</w:t>
      </w:r>
      <w:r>
        <w:t xml:space="preserve"> a region called </w:t>
      </w:r>
      <w:proofErr w:type="spellStart"/>
      <w:r>
        <w:t>SPDA</w:t>
      </w:r>
      <w:proofErr w:type="spellEnd"/>
      <w:r>
        <w:t>.  This was to ameliorate coal fired GDUs.</w:t>
      </w:r>
    </w:p>
    <w:p w:rsidR="00FB5C03" w:rsidRDefault="00FB5C03" w:rsidP="00FB5C03">
      <w:pPr>
        <w:pStyle w:val="ListParagraph"/>
        <w:numPr>
          <w:ilvl w:val="1"/>
          <w:numId w:val="6"/>
        </w:numPr>
      </w:pPr>
      <w:r>
        <w:t>All NEWE, NYLI, and NYUP units in all 5 fuel/unit types were changed to a region called NELU.</w:t>
      </w:r>
    </w:p>
    <w:p w:rsidR="00FB5C03" w:rsidRDefault="00FB5C03" w:rsidP="00FB5C03">
      <w:pPr>
        <w:pStyle w:val="ListParagraph"/>
        <w:numPr>
          <w:ilvl w:val="1"/>
          <w:numId w:val="6"/>
        </w:numPr>
      </w:pPr>
      <w:r>
        <w:t xml:space="preserve">Since we have no information from CA on new, planned units, I used the information found at the bottom of this webpage to include the following NPUs for CAMX.  </w:t>
      </w:r>
      <w:hyperlink r:id="rId9" w:history="1">
        <w:r w:rsidRPr="001A643C">
          <w:rPr>
            <w:rStyle w:val="Hyperlink"/>
          </w:rPr>
          <w:t>http://www.energy.ca.gov/sitingcases/all_projects.html</w:t>
        </w:r>
      </w:hyperlink>
      <w:r>
        <w:t xml:space="preserve"> All were </w:t>
      </w:r>
      <w:r>
        <w:lastRenderedPageBreak/>
        <w:t xml:space="preserve">located at existing ORIS.  Names were changed.  For the new units, I kept the new names, and included all existing ORIS information.  I labeled the new units at the ORIS as “N04XXX”.  I started each one on 01/01/2018 since I had no other data.  I also assumed they’d be high efficiency, with a heat rate </w:t>
      </w:r>
      <w:proofErr w:type="gramStart"/>
      <w:r>
        <w:t>of 6,700 btu/</w:t>
      </w:r>
      <w:proofErr w:type="spellStart"/>
      <w:r>
        <w:t>kw-hr</w:t>
      </w:r>
      <w:proofErr w:type="spellEnd"/>
      <w:proofErr w:type="gramEnd"/>
      <w:r>
        <w:t>.  These are only supposed to be place holders since CAMX had so many calculated GDUs.</w:t>
      </w:r>
    </w:p>
    <w:p w:rsidR="00FB5C03" w:rsidRDefault="00FB5C03" w:rsidP="00FB5C03">
      <w:r w:rsidRPr="00480FC6">
        <w:rPr>
          <w:noProof/>
        </w:rPr>
        <w:drawing>
          <wp:inline distT="0" distB="0" distL="0" distR="0" wp14:anchorId="4FD5F116" wp14:editId="5D8EC32A">
            <wp:extent cx="5943600" cy="33516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351670"/>
                    </a:xfrm>
                    <a:prstGeom prst="rect">
                      <a:avLst/>
                    </a:prstGeom>
                    <a:noFill/>
                    <a:ln w="9525">
                      <a:noFill/>
                      <a:miter lim="800000"/>
                      <a:headEnd/>
                      <a:tailEnd/>
                    </a:ln>
                  </pic:spPr>
                </pic:pic>
              </a:graphicData>
            </a:graphic>
          </wp:inline>
        </w:drawing>
      </w:r>
    </w:p>
    <w:p w:rsidR="00FB5C03" w:rsidRDefault="00FB5C03" w:rsidP="00FB5C03"/>
    <w:p w:rsidR="00FB5C03" w:rsidRDefault="00FB5C03" w:rsidP="00FB5C03">
      <w:pPr>
        <w:pStyle w:val="ListParagraph"/>
        <w:numPr>
          <w:ilvl w:val="0"/>
          <w:numId w:val="6"/>
        </w:numPr>
      </w:pPr>
      <w:r>
        <w:t>ORIS 2331, Unit ID 1 (NWPP) was removed because it caused a crash with the 2011 BY data in previous reference runs.</w:t>
      </w:r>
    </w:p>
    <w:p w:rsidR="00FB5C03" w:rsidRDefault="00FB5C03" w:rsidP="00FB5C03">
      <w:pPr>
        <w:pStyle w:val="ListParagraph"/>
        <w:numPr>
          <w:ilvl w:val="0"/>
          <w:numId w:val="6"/>
        </w:numPr>
      </w:pPr>
      <w:r>
        <w:t>Growth rates used were the same as in CONUS2.3, with the following changes:</w:t>
      </w:r>
    </w:p>
    <w:p w:rsidR="00FB5C03" w:rsidRPr="00923ACA" w:rsidRDefault="00FB5C03" w:rsidP="00FB5C03">
      <w:pPr>
        <w:pStyle w:val="ListParagraph"/>
        <w:numPr>
          <w:ilvl w:val="1"/>
          <w:numId w:val="6"/>
        </w:numPr>
      </w:pPr>
      <w:proofErr w:type="spellStart"/>
      <w:r>
        <w:t>SPDA</w:t>
      </w:r>
      <w:proofErr w:type="spellEnd"/>
      <w:r>
        <w:t xml:space="preserve"> (combination of coal units from SPPR and SRDA) coal growth rates were taken from the file called </w:t>
      </w:r>
      <w:r>
        <w:rPr>
          <w:b/>
        </w:rPr>
        <w:t xml:space="preserve">Simple Tables Growth for combined </w:t>
      </w:r>
      <w:proofErr w:type="spellStart"/>
      <w:r>
        <w:rPr>
          <w:b/>
        </w:rPr>
        <w:t>SPP</w:t>
      </w:r>
      <w:proofErr w:type="spellEnd"/>
      <w:r>
        <w:rPr>
          <w:b/>
        </w:rPr>
        <w:t xml:space="preserve"> plus SRDA.xlsx</w:t>
      </w:r>
    </w:p>
    <w:p w:rsidR="00FB5C03" w:rsidRPr="000B767C" w:rsidRDefault="00FB5C03" w:rsidP="00FB5C03">
      <w:pPr>
        <w:pStyle w:val="ListParagraph"/>
        <w:numPr>
          <w:ilvl w:val="1"/>
          <w:numId w:val="6"/>
        </w:numPr>
      </w:pPr>
      <w:r>
        <w:t xml:space="preserve">I </w:t>
      </w:r>
      <w:r w:rsidRPr="000B767C">
        <w:t>removed the SPPR coal line and the SRDA coal line.</w:t>
      </w:r>
    </w:p>
    <w:p w:rsidR="00FB5C03" w:rsidRPr="000B767C" w:rsidRDefault="00FB5C03" w:rsidP="00FB5C03">
      <w:pPr>
        <w:pStyle w:val="ListParagraph"/>
        <w:numPr>
          <w:ilvl w:val="1"/>
          <w:numId w:val="6"/>
        </w:numPr>
      </w:pPr>
      <w:r w:rsidRPr="000B767C">
        <w:t>I updated the 2017, 2018, 2019, 2023, and 2028 growth rates for coal and oil fuel/unit types in NELU using the spreadsheet called “Northeast_Composite_AEO2014_2015 07282015.xlsx”, tab “Index Compare AEO2014-2015.”  Rows #3, and #4 were used for annual data and Rows #22 and #23 were used for peak rates.</w:t>
      </w:r>
    </w:p>
    <w:p w:rsidR="00FB5C03" w:rsidRPr="000B767C" w:rsidRDefault="00FB5C03" w:rsidP="00FB5C03">
      <w:pPr>
        <w:pStyle w:val="ListParagraph"/>
        <w:numPr>
          <w:ilvl w:val="1"/>
          <w:numId w:val="6"/>
        </w:numPr>
      </w:pPr>
      <w:r w:rsidRPr="000B767C">
        <w:t>I updated the 2017, 2018, 2019, 2023, and 2028 growth rates for combined cycle, simple cycle, and boiler gas in NELU using the spreadsheet called “Northeast_Composite_AEO2014-2015 07282015.xlsx”, tab “3 Region Growth Factor Summary”.  Rows #5, #6, and #7 were for annual and rows #14, #15, and #16 were used for peak rates.  Peak rate TPs were set at 50/1000 for Boiler gas.</w:t>
      </w:r>
    </w:p>
    <w:p w:rsidR="00FB5C03" w:rsidRDefault="00FB5C03" w:rsidP="00FB5C03">
      <w:pPr>
        <w:pStyle w:val="ListParagraph"/>
        <w:numPr>
          <w:ilvl w:val="1"/>
          <w:numId w:val="6"/>
        </w:numPr>
      </w:pPr>
      <w:r w:rsidRPr="000B767C">
        <w:lastRenderedPageBreak/>
        <w:t>For RFCM, I used the file “Updated AEO2014 GR for RFCM CC and RFCM</w:t>
      </w:r>
      <w:r>
        <w:t xml:space="preserve"> AEO2015 GR.xlsx”</w:t>
      </w:r>
      <w:proofErr w:type="gramStart"/>
      <w:r>
        <w:t>,</w:t>
      </w:r>
      <w:proofErr w:type="gramEnd"/>
      <w:r>
        <w:t xml:space="preserve"> tab “RFCM AEO2015” for all annual growth rates and for peak growth rates for BG, CC, and SC.  The accompanying email notes that annual growth rates for boiler gas and simple cycle units are 1. The peak growth rates for coal and oil remained the same as 2.3.  TPs for combined cycle were set at 1000 and 7000.</w:t>
      </w:r>
    </w:p>
    <w:p w:rsidR="00FB5C03" w:rsidRDefault="00FB5C03" w:rsidP="00FB5C03">
      <w:pPr>
        <w:pStyle w:val="ListParagraph"/>
        <w:numPr>
          <w:ilvl w:val="1"/>
          <w:numId w:val="6"/>
        </w:numPr>
      </w:pPr>
      <w:r>
        <w:t>For SRVC, I used the annual and peak growth rates in the June 30, 2015 memo from the SC, NC, VA, and WV air directors to ERTAC.  The TPs for combined cycle were set at 200 and 5000 to reflect the base load nature of combined cycle.  The TPs were set at 10/2000 for boiler gas to push the huge increase into the middle range of the hours.  In 2028, I reduced the boiler gas peak growth rate from 3.069 to 3.067 to reflect the retirement of two small coal-to-gas converted boilers.</w:t>
      </w:r>
    </w:p>
    <w:p w:rsidR="00FB5C03" w:rsidRDefault="00FB5C03" w:rsidP="00FB5C03">
      <w:pPr>
        <w:pStyle w:val="ListParagraph"/>
        <w:numPr>
          <w:ilvl w:val="1"/>
          <w:numId w:val="6"/>
        </w:numPr>
      </w:pPr>
      <w:r>
        <w:t>For SRSE, I used the following peak rates, for all years, based on the 7/20/2015 email from Bob Lopez to Byeong Kim with the subject “SRSE Peak Growth Rates”:</w:t>
      </w:r>
    </w:p>
    <w:p w:rsidR="00FB5C03" w:rsidRDefault="00FB5C03" w:rsidP="00FB5C03"/>
    <w:tbl>
      <w:tblPr>
        <w:tblStyle w:val="LightShading"/>
        <w:tblW w:w="0" w:type="auto"/>
        <w:tblInd w:w="738" w:type="dxa"/>
        <w:tblLook w:val="04A0" w:firstRow="1" w:lastRow="0" w:firstColumn="1" w:lastColumn="0" w:noHBand="0" w:noVBand="1"/>
      </w:tblPr>
      <w:tblGrid>
        <w:gridCol w:w="2790"/>
        <w:gridCol w:w="2745"/>
        <w:gridCol w:w="2043"/>
      </w:tblGrid>
      <w:tr w:rsidR="00FB5C03" w:rsidTr="001C7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FB5C03" w:rsidRDefault="00FB5C03" w:rsidP="001C724E">
            <w:r>
              <w:t>Fuel/unit type in SRSE</w:t>
            </w:r>
          </w:p>
        </w:tc>
        <w:tc>
          <w:tcPr>
            <w:tcW w:w="2745" w:type="dxa"/>
          </w:tcPr>
          <w:p w:rsidR="00FB5C03" w:rsidRDefault="00FB5C03" w:rsidP="001C724E">
            <w:pPr>
              <w:cnfStyle w:val="100000000000" w:firstRow="1" w:lastRow="0" w:firstColumn="0" w:lastColumn="0" w:oddVBand="0" w:evenVBand="0" w:oddHBand="0" w:evenHBand="0" w:firstRowFirstColumn="0" w:firstRowLastColumn="0" w:lastRowFirstColumn="0" w:lastRowLastColumn="0"/>
            </w:pPr>
            <w:r>
              <w:t>Peak growth rate</w:t>
            </w:r>
          </w:p>
        </w:tc>
        <w:tc>
          <w:tcPr>
            <w:tcW w:w="2043" w:type="dxa"/>
          </w:tcPr>
          <w:p w:rsidR="00FB5C03" w:rsidRDefault="00FB5C03" w:rsidP="001C724E">
            <w:pPr>
              <w:cnfStyle w:val="100000000000" w:firstRow="1" w:lastRow="0" w:firstColumn="0" w:lastColumn="0" w:oddVBand="0" w:evenVBand="0" w:oddHBand="0" w:evenHBand="0" w:firstRowFirstColumn="0" w:firstRowLastColumn="0" w:lastRowFirstColumn="0" w:lastRowLastColumn="0"/>
            </w:pPr>
            <w:r>
              <w:t xml:space="preserve">Transition </w:t>
            </w:r>
            <w:proofErr w:type="spellStart"/>
            <w:r>
              <w:t>hrs</w:t>
            </w:r>
            <w:proofErr w:type="spellEnd"/>
          </w:p>
        </w:tc>
      </w:tr>
      <w:tr w:rsidR="00FB5C03" w:rsidTr="001C7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FB5C03" w:rsidRDefault="00FB5C03" w:rsidP="001C724E">
            <w:r>
              <w:t>Coal</w:t>
            </w:r>
          </w:p>
        </w:tc>
        <w:tc>
          <w:tcPr>
            <w:tcW w:w="2745" w:type="dxa"/>
          </w:tcPr>
          <w:p w:rsidR="00FB5C03" w:rsidRDefault="00FB5C03" w:rsidP="001C724E">
            <w:pPr>
              <w:cnfStyle w:val="000000100000" w:firstRow="0" w:lastRow="0" w:firstColumn="0" w:lastColumn="0" w:oddVBand="0" w:evenVBand="0" w:oddHBand="1" w:evenHBand="0" w:firstRowFirstColumn="0" w:firstRowLastColumn="0" w:lastRowFirstColumn="0" w:lastRowLastColumn="0"/>
            </w:pPr>
            <w:r>
              <w:t>0.8</w:t>
            </w:r>
          </w:p>
        </w:tc>
        <w:tc>
          <w:tcPr>
            <w:tcW w:w="2043" w:type="dxa"/>
          </w:tcPr>
          <w:p w:rsidR="00FB5C03" w:rsidRDefault="00FB5C03" w:rsidP="001C724E">
            <w:pPr>
              <w:cnfStyle w:val="000000100000" w:firstRow="0" w:lastRow="0" w:firstColumn="0" w:lastColumn="0" w:oddVBand="0" w:evenVBand="0" w:oddHBand="1" w:evenHBand="0" w:firstRowFirstColumn="0" w:firstRowLastColumn="0" w:lastRowFirstColumn="0" w:lastRowLastColumn="0"/>
            </w:pPr>
            <w:r>
              <w:t>400/4000</w:t>
            </w:r>
          </w:p>
        </w:tc>
      </w:tr>
      <w:tr w:rsidR="00FB5C03" w:rsidTr="001C724E">
        <w:tc>
          <w:tcPr>
            <w:cnfStyle w:val="001000000000" w:firstRow="0" w:lastRow="0" w:firstColumn="1" w:lastColumn="0" w:oddVBand="0" w:evenVBand="0" w:oddHBand="0" w:evenHBand="0" w:firstRowFirstColumn="0" w:firstRowLastColumn="0" w:lastRowFirstColumn="0" w:lastRowLastColumn="0"/>
            <w:tcW w:w="2790" w:type="dxa"/>
          </w:tcPr>
          <w:p w:rsidR="00FB5C03" w:rsidRDefault="00FB5C03" w:rsidP="001C724E">
            <w:r>
              <w:t>Combined cycle</w:t>
            </w:r>
          </w:p>
        </w:tc>
        <w:tc>
          <w:tcPr>
            <w:tcW w:w="2745" w:type="dxa"/>
          </w:tcPr>
          <w:p w:rsidR="00FB5C03" w:rsidRDefault="00FB5C03" w:rsidP="001C724E">
            <w:pPr>
              <w:cnfStyle w:val="000000000000" w:firstRow="0" w:lastRow="0" w:firstColumn="0" w:lastColumn="0" w:oddVBand="0" w:evenVBand="0" w:oddHBand="0" w:evenHBand="0" w:firstRowFirstColumn="0" w:firstRowLastColumn="0" w:lastRowFirstColumn="0" w:lastRowLastColumn="0"/>
            </w:pPr>
            <w:r>
              <w:t>1.45</w:t>
            </w:r>
          </w:p>
        </w:tc>
        <w:tc>
          <w:tcPr>
            <w:tcW w:w="2043" w:type="dxa"/>
          </w:tcPr>
          <w:p w:rsidR="00FB5C03" w:rsidRDefault="00FB5C03" w:rsidP="001C724E">
            <w:pPr>
              <w:cnfStyle w:val="000000000000" w:firstRow="0" w:lastRow="0" w:firstColumn="0" w:lastColumn="0" w:oddVBand="0" w:evenVBand="0" w:oddHBand="0" w:evenHBand="0" w:firstRowFirstColumn="0" w:firstRowLastColumn="0" w:lastRowFirstColumn="0" w:lastRowLastColumn="0"/>
            </w:pPr>
            <w:r>
              <w:t>400/4000</w:t>
            </w:r>
          </w:p>
        </w:tc>
      </w:tr>
      <w:tr w:rsidR="00FB5C03" w:rsidTr="001C7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FB5C03" w:rsidRDefault="00FB5C03" w:rsidP="001C724E">
            <w:r>
              <w:t>Simple cycle</w:t>
            </w:r>
          </w:p>
        </w:tc>
        <w:tc>
          <w:tcPr>
            <w:tcW w:w="2745" w:type="dxa"/>
          </w:tcPr>
          <w:p w:rsidR="00FB5C03" w:rsidRDefault="00FB5C03" w:rsidP="001C724E">
            <w:pPr>
              <w:cnfStyle w:val="000000100000" w:firstRow="0" w:lastRow="0" w:firstColumn="0" w:lastColumn="0" w:oddVBand="0" w:evenVBand="0" w:oddHBand="1" w:evenHBand="0" w:firstRowFirstColumn="0" w:firstRowLastColumn="0" w:lastRowFirstColumn="0" w:lastRowLastColumn="0"/>
            </w:pPr>
            <w:r>
              <w:t>1.00</w:t>
            </w:r>
          </w:p>
        </w:tc>
        <w:tc>
          <w:tcPr>
            <w:tcW w:w="2043" w:type="dxa"/>
          </w:tcPr>
          <w:p w:rsidR="00FB5C03" w:rsidRDefault="00FB5C03" w:rsidP="001C724E">
            <w:pPr>
              <w:cnfStyle w:val="000000100000" w:firstRow="0" w:lastRow="0" w:firstColumn="0" w:lastColumn="0" w:oddVBand="0" w:evenVBand="0" w:oddHBand="1" w:evenHBand="0" w:firstRowFirstColumn="0" w:firstRowLastColumn="0" w:lastRowFirstColumn="0" w:lastRowLastColumn="0"/>
            </w:pPr>
            <w:r>
              <w:t>10/50</w:t>
            </w:r>
          </w:p>
        </w:tc>
      </w:tr>
      <w:tr w:rsidR="00FB5C03" w:rsidTr="001C724E">
        <w:tc>
          <w:tcPr>
            <w:cnfStyle w:val="001000000000" w:firstRow="0" w:lastRow="0" w:firstColumn="1" w:lastColumn="0" w:oddVBand="0" w:evenVBand="0" w:oddHBand="0" w:evenHBand="0" w:firstRowFirstColumn="0" w:firstRowLastColumn="0" w:lastRowFirstColumn="0" w:lastRowLastColumn="0"/>
            <w:tcW w:w="2790" w:type="dxa"/>
          </w:tcPr>
          <w:p w:rsidR="00FB5C03" w:rsidRDefault="00FB5C03" w:rsidP="001C724E">
            <w:r>
              <w:t>Boiler gas</w:t>
            </w:r>
          </w:p>
        </w:tc>
        <w:tc>
          <w:tcPr>
            <w:tcW w:w="2745" w:type="dxa"/>
          </w:tcPr>
          <w:p w:rsidR="00FB5C03" w:rsidRDefault="00FB5C03" w:rsidP="001C724E">
            <w:pPr>
              <w:cnfStyle w:val="000000000000" w:firstRow="0" w:lastRow="0" w:firstColumn="0" w:lastColumn="0" w:oddVBand="0" w:evenVBand="0" w:oddHBand="0" w:evenHBand="0" w:firstRowFirstColumn="0" w:firstRowLastColumn="0" w:lastRowFirstColumn="0" w:lastRowLastColumn="0"/>
            </w:pPr>
            <w:r>
              <w:t>1.45</w:t>
            </w:r>
          </w:p>
        </w:tc>
        <w:tc>
          <w:tcPr>
            <w:tcW w:w="2043" w:type="dxa"/>
          </w:tcPr>
          <w:p w:rsidR="00FB5C03" w:rsidRDefault="00FB5C03" w:rsidP="001C724E">
            <w:pPr>
              <w:cnfStyle w:val="000000000000" w:firstRow="0" w:lastRow="0" w:firstColumn="0" w:lastColumn="0" w:oddVBand="0" w:evenVBand="0" w:oddHBand="0" w:evenHBand="0" w:firstRowFirstColumn="0" w:firstRowLastColumn="0" w:lastRowFirstColumn="0" w:lastRowLastColumn="0"/>
            </w:pPr>
            <w:r>
              <w:t>200/4000</w:t>
            </w:r>
          </w:p>
        </w:tc>
      </w:tr>
    </w:tbl>
    <w:p w:rsidR="00FB5C03" w:rsidRDefault="00FB5C03" w:rsidP="00FB5C03"/>
    <w:p w:rsidR="00FB5C03" w:rsidRDefault="00FB5C03" w:rsidP="00FB5C03">
      <w:pPr>
        <w:pStyle w:val="ListParagraph"/>
        <w:numPr>
          <w:ilvl w:val="0"/>
          <w:numId w:val="7"/>
        </w:numPr>
        <w:ind w:left="1440"/>
      </w:pPr>
      <w:r>
        <w:t xml:space="preserve">For MROZ and RFWZ, I used the spreadsheet called “Summary for MROZ and RFWZ for CONUS2.4.xlsx, tab “Summary </w:t>
      </w:r>
      <w:proofErr w:type="spellStart"/>
      <w:r>
        <w:t>MROZ&amp;RFWZ</w:t>
      </w:r>
      <w:proofErr w:type="spellEnd"/>
      <w:r>
        <w:t>.”  For RFWZ, lines 52 through 56 were used for annual rates.  For peak rates, line 58 was multiplied by the annual value to determine the peak value.  Any peak rate above 1.3 was set back to 1.3.  For MROZ, lines 16 through 20 were used for annual.  Line 22 was multiplied by the annual rate to determine the peak rate.  Peak rates above 1.3 were set at 1.3 based on Bob’s email dated 7/23/2015, subject:  MROZ forecast starter using AEO2015.  Also, for RFWZ, CC, in 2018 I set the TPs to 200/4000 because of the very large difference between the peak and annual growth rates.</w:t>
      </w:r>
    </w:p>
    <w:p w:rsidR="00FB5C03" w:rsidRPr="00B32789" w:rsidRDefault="00FB5C03" w:rsidP="00FB5C03">
      <w:pPr>
        <w:pStyle w:val="ListParagraph"/>
        <w:numPr>
          <w:ilvl w:val="0"/>
          <w:numId w:val="7"/>
        </w:numPr>
        <w:ind w:left="1440"/>
      </w:pPr>
      <w:r>
        <w:t xml:space="preserve">For CAMX, I set the CC peak rates equal to the annual rates in all years.  </w:t>
      </w:r>
    </w:p>
    <w:p w:rsidR="00FB5C03" w:rsidRDefault="00FB5C03" w:rsidP="00FB5C03">
      <w:pPr>
        <w:pStyle w:val="ListParagraph"/>
        <w:numPr>
          <w:ilvl w:val="0"/>
          <w:numId w:val="6"/>
        </w:numPr>
      </w:pPr>
      <w:r>
        <w:t>For the input variables, I used the same file as CONUS2.3, with the following changes:</w:t>
      </w:r>
    </w:p>
    <w:p w:rsidR="00FB5C03" w:rsidRDefault="00FB5C03" w:rsidP="00FB5C03">
      <w:pPr>
        <w:pStyle w:val="ListParagraph"/>
        <w:numPr>
          <w:ilvl w:val="1"/>
          <w:numId w:val="6"/>
        </w:numPr>
      </w:pPr>
      <w:r>
        <w:t>I changed the capacity demand deficit review from 3000 to 7000 so as to not miss any GDUs.</w:t>
      </w:r>
    </w:p>
    <w:p w:rsidR="00FB5C03" w:rsidRDefault="00FB5C03" w:rsidP="00FB5C03">
      <w:pPr>
        <w:pStyle w:val="ListParagraph"/>
        <w:numPr>
          <w:ilvl w:val="1"/>
          <w:numId w:val="6"/>
        </w:numPr>
      </w:pPr>
      <w:r>
        <w:t>I added a line for coal/</w:t>
      </w:r>
      <w:proofErr w:type="spellStart"/>
      <w:r>
        <w:t>SPDA</w:t>
      </w:r>
      <w:proofErr w:type="spellEnd"/>
      <w:r>
        <w:t xml:space="preserve"> and removed the SPPR coal line and SRDA coal line.</w:t>
      </w:r>
    </w:p>
    <w:p w:rsidR="00FB5C03" w:rsidRDefault="00FB5C03" w:rsidP="00FB5C03">
      <w:pPr>
        <w:pStyle w:val="ListParagraph"/>
        <w:numPr>
          <w:ilvl w:val="1"/>
          <w:numId w:val="6"/>
        </w:numPr>
      </w:pPr>
      <w:r>
        <w:t>I changed the RFCM/Combined Cycle new unit hierarchy percentile to 75</w:t>
      </w:r>
      <w:r w:rsidRPr="005839BE">
        <w:rPr>
          <w:vertAlign w:val="superscript"/>
        </w:rPr>
        <w:t>th</w:t>
      </w:r>
      <w:r>
        <w:t xml:space="preserve">.  </w:t>
      </w:r>
    </w:p>
    <w:p w:rsidR="00FB5C03" w:rsidRDefault="00FB5C03" w:rsidP="00FB5C03">
      <w:pPr>
        <w:pStyle w:val="ListParagraph"/>
        <w:numPr>
          <w:ilvl w:val="1"/>
          <w:numId w:val="6"/>
        </w:numPr>
      </w:pPr>
      <w:r>
        <w:lastRenderedPageBreak/>
        <w:t>I removed all rows for all fuel/unit types for NEWE, NYLI, and NYUP.  I replaced them with one set of 5 rows for NELU.  For NELU, I used all default inputs.</w:t>
      </w:r>
    </w:p>
    <w:p w:rsidR="00FB5C03" w:rsidRDefault="00FB5C03" w:rsidP="00FB5C03">
      <w:pPr>
        <w:pStyle w:val="ListParagraph"/>
        <w:numPr>
          <w:ilvl w:val="0"/>
          <w:numId w:val="6"/>
        </w:numPr>
      </w:pPr>
      <w:r>
        <w:t>For the nonCAMD hourly file, the following data was concatenated to the nonCAMD hourly file used in CONUS2.3:</w:t>
      </w:r>
    </w:p>
    <w:p w:rsidR="00FB5C03" w:rsidRDefault="00FB5C03" w:rsidP="00FB5C03">
      <w:pPr>
        <w:pStyle w:val="ListParagraph"/>
        <w:numPr>
          <w:ilvl w:val="1"/>
          <w:numId w:val="6"/>
        </w:numPr>
      </w:pPr>
      <w:r>
        <w:t xml:space="preserve">FRCC (Florida) updated the gross load of some of the combined cycle units in their state to reflect </w:t>
      </w:r>
      <w:proofErr w:type="spellStart"/>
      <w:r>
        <w:t>nonreported</w:t>
      </w:r>
      <w:proofErr w:type="spellEnd"/>
      <w:r>
        <w:t xml:space="preserve"> power.  The data was supplied in an email from Justin Rivard to the </w:t>
      </w:r>
      <w:hyperlink r:id="rId11" w:history="1">
        <w:r w:rsidRPr="00797BE0">
          <w:rPr>
            <w:rStyle w:val="Hyperlink"/>
          </w:rPr>
          <w:t>ertacegufeedback@gmail.com</w:t>
        </w:r>
      </w:hyperlink>
      <w:r>
        <w:t xml:space="preserve"> box.  The email was dated April 1, 2015.</w:t>
      </w:r>
    </w:p>
    <w:p w:rsidR="00FB5C03" w:rsidRDefault="00FB5C03" w:rsidP="00FB5C03">
      <w:pPr>
        <w:pStyle w:val="ListParagraph"/>
        <w:numPr>
          <w:ilvl w:val="1"/>
          <w:numId w:val="6"/>
        </w:numPr>
      </w:pPr>
      <w:r>
        <w:t xml:space="preserve">RFCM (Michigan) updated the gross load of some of the combined cycle units in their state to reflect </w:t>
      </w:r>
      <w:proofErr w:type="spellStart"/>
      <w:r>
        <w:t>nonreported</w:t>
      </w:r>
      <w:proofErr w:type="spellEnd"/>
      <w:r>
        <w:t xml:space="preserve"> power.  The updates to the hourly data were performed by VA, but the adjustment factors were calculated by MI and were supplied in an email from Tom Shanley to Doris McLeod on 11/20/2014, with a subject line:  RE:  2011 gross load adjustments.</w:t>
      </w:r>
    </w:p>
    <w:p w:rsidR="00FB5C03" w:rsidRDefault="00FB5C03" w:rsidP="00FB5C03">
      <w:pPr>
        <w:pStyle w:val="ListParagraph"/>
        <w:ind w:left="1440"/>
      </w:pPr>
    </w:p>
    <w:p w:rsidR="00FB5C03" w:rsidRPr="00FB5C03" w:rsidRDefault="00FB5C03" w:rsidP="00FB5C03">
      <w:pPr>
        <w:pStyle w:val="ListParagraph"/>
        <w:rPr>
          <w:b/>
        </w:rPr>
      </w:pPr>
      <w:r>
        <w:rPr>
          <w:noProof/>
        </w:rPr>
        <mc:AlternateContent>
          <mc:Choice Requires="wps">
            <w:drawing>
              <wp:anchor distT="0" distB="0" distL="114300" distR="114300" simplePos="0" relativeHeight="251668480" behindDoc="0" locked="0" layoutInCell="1" allowOverlap="1" wp14:anchorId="40A708EA" wp14:editId="630DD0D2">
                <wp:simplePos x="0" y="0"/>
                <wp:positionH relativeFrom="column">
                  <wp:posOffset>47624</wp:posOffset>
                </wp:positionH>
                <wp:positionV relativeFrom="paragraph">
                  <wp:posOffset>65405</wp:posOffset>
                </wp:positionV>
                <wp:extent cx="6010275" cy="0"/>
                <wp:effectExtent l="0" t="19050" r="9525" b="19050"/>
                <wp:wrapNone/>
                <wp:docPr id="7" name="Straight Connector 7"/>
                <wp:cNvGraphicFramePr/>
                <a:graphic xmlns:a="http://schemas.openxmlformats.org/drawingml/2006/main">
                  <a:graphicData uri="http://schemas.microsoft.com/office/word/2010/wordprocessingShape">
                    <wps:wsp>
                      <wps:cNvCnPr/>
                      <wps:spPr>
                        <a:xfrm>
                          <a:off x="0" y="0"/>
                          <a:ext cx="60102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75pt,5.15pt" to="47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8KtwgEAANQDAAAOAAAAZHJzL2Uyb0RvYy54bWysU8tu2zAQvBfIPxC8x5JcNA4Eyzk4SC9F&#10;ajTtBzDU0iLAF5asJf99lrStBG2BokUuFMmdmd1ZrtZ3kzXsABi1dx1vFjVn4KTvtdt3/Mf3h+tb&#10;zmISrhfGO+j4ESK/21x9WI+hhaUfvOkBGYm42I6h40NKoa2qKAewIi58AEdB5dGKREfcVz2KkdSt&#10;qZZ1fVONHvuAXkKMdHt/CvJN0VcKZPqqVITETMeptlRWLOtzXqvNWrR7FGHQ8lyG+I8qrNCOks5S&#10;9yIJ9hP1b1JWS/TRq7SQ3lZeKS2heCA3Tf2Lm6dBBCheqDkxzG2K7ycrHw87ZLrv+IozJyw90VNC&#10;ofdDYlvvHDXQI1vlPo0htgTfuh2eTzHsMJueFNr8JTtsKr09zr2FKTFJlzdkb7n6xJm8xKpXYsCY&#10;PoO3LG86brTLtkUrDl9iomQEvUDytXFs7PjH26YuD1jlyk61lF06GjjBvoEib5S9KXJlqmBrkB0E&#10;zYOQElxqsjdKYByhM01pY2Zi/XfiGZ+pUCbuX8gzo2T2Ls1kq53HP2VP06VkdcJT+W985+2z74/l&#10;lUqARqc4PI95ns2350J//Rk3LwAAAP//AwBQSwMEFAAGAAgAAAAhAN/KAwrbAAAABwEAAA8AAABk&#10;cnMvZG93bnJldi54bWxMj81OwzAQhO9IvIO1SNyow08phDgVqkBw6IUW9byNlyQQryPbSQNPzyIO&#10;cNyZ0ew3xXJynRopxNazgfNZBoq48rbl2sDr9vHsBlRMyBY7z2TgkyIsy+OjAnPrD/xC4ybVSko4&#10;5migSanPtY5VQw7jzPfE4r354DDJGWptAx6k3HX6IsuutcOW5UODPa0aqj42gzNQuyf3nvxz2OLD&#10;bliMX6tqt26NOT2Z7u9AJZrSXxh+8AUdSmHa+4FtVJ2BxVyCImeXoMS+nV/JtP2voMtC/+cvvwEA&#10;AP//AwBQSwECLQAUAAYACAAAACEAtoM4kv4AAADhAQAAEwAAAAAAAAAAAAAAAAAAAAAAW0NvbnRl&#10;bnRfVHlwZXNdLnhtbFBLAQItABQABgAIAAAAIQA4/SH/1gAAAJQBAAALAAAAAAAAAAAAAAAAAC8B&#10;AABfcmVscy8ucmVsc1BLAQItABQABgAIAAAAIQBBM8KtwgEAANQDAAAOAAAAAAAAAAAAAAAAAC4C&#10;AABkcnMvZTJvRG9jLnhtbFBLAQItABQABgAIAAAAIQDfygMK2wAAAAcBAAAPAAAAAAAAAAAAAAAA&#10;ABwEAABkcnMvZG93bnJldi54bWxQSwUGAAAAAAQABADzAAAAJAUAAAAA&#10;" strokecolor="#4579b8 [3044]" strokeweight="3pt"/>
            </w:pict>
          </mc:Fallback>
        </mc:AlternateContent>
      </w:r>
    </w:p>
    <w:p w:rsidR="00FB5C03" w:rsidRPr="00D46120" w:rsidRDefault="00FB5C03" w:rsidP="00FB5C03">
      <w:pPr>
        <w:pStyle w:val="ListParagraph"/>
        <w:ind w:left="0"/>
      </w:pPr>
      <w:r w:rsidRPr="00D46120">
        <w:rPr>
          <w:b/>
          <w:sz w:val="28"/>
          <w:szCs w:val="28"/>
        </w:rPr>
        <w:t xml:space="preserve">Changes and Updates from </w:t>
      </w:r>
      <w:r>
        <w:rPr>
          <w:b/>
          <w:sz w:val="28"/>
          <w:szCs w:val="28"/>
        </w:rPr>
        <w:t>2.2_GR14, 2.2_M114, and 2.2M214 to 2.3 Reference Case</w:t>
      </w:r>
      <w:r w:rsidRPr="00D46120">
        <w:rPr>
          <w:b/>
          <w:sz w:val="28"/>
          <w:szCs w:val="28"/>
        </w:rPr>
        <w:t>:</w:t>
      </w:r>
    </w:p>
    <w:p w:rsidR="00FB5C03" w:rsidRDefault="00FB5C03" w:rsidP="00FB5C03">
      <w:pPr>
        <w:pStyle w:val="ListParagraph"/>
        <w:numPr>
          <w:ilvl w:val="0"/>
          <w:numId w:val="4"/>
        </w:numPr>
      </w:pPr>
      <w:r>
        <w:t>UAF:</w:t>
      </w:r>
    </w:p>
    <w:p w:rsidR="00FB5C03" w:rsidRDefault="00FB5C03" w:rsidP="00FB5C03">
      <w:pPr>
        <w:pStyle w:val="ListParagraph"/>
        <w:numPr>
          <w:ilvl w:val="1"/>
          <w:numId w:val="4"/>
        </w:numPr>
      </w:pPr>
      <w:r>
        <w:t xml:space="preserve">For the 2.3 Reference case, I used the documentation UAF called </w:t>
      </w:r>
      <w:r w:rsidRPr="00024395">
        <w:rPr>
          <w:b/>
        </w:rPr>
        <w:t>2011BASEUnit_Availability_v2.3_13_14September82014_code1.01.zip.</w:t>
      </w:r>
    </w:p>
    <w:p w:rsidR="00FB5C03" w:rsidRDefault="00FB5C03" w:rsidP="00FB5C03">
      <w:pPr>
        <w:pStyle w:val="ListParagraph"/>
        <w:numPr>
          <w:ilvl w:val="1"/>
          <w:numId w:val="4"/>
        </w:numPr>
      </w:pPr>
      <w:r>
        <w:t xml:space="preserve">I made a significant amount of changes to this listing to address units without enough base year data to calculate variables and other issues.  These fixes are detailed in the document </w:t>
      </w:r>
      <w:proofErr w:type="gramStart"/>
      <w:r>
        <w:rPr>
          <w:b/>
        </w:rPr>
        <w:t>My</w:t>
      </w:r>
      <w:proofErr w:type="gramEnd"/>
      <w:r>
        <w:rPr>
          <w:b/>
        </w:rPr>
        <w:t xml:space="preserve"> changes for 2_3 from </w:t>
      </w:r>
      <w:proofErr w:type="spellStart"/>
      <w:r>
        <w:rPr>
          <w:b/>
        </w:rPr>
        <w:t>Wendys</w:t>
      </w:r>
      <w:proofErr w:type="spellEnd"/>
      <w:r>
        <w:rPr>
          <w:b/>
        </w:rPr>
        <w:t xml:space="preserve"> file.docx.  </w:t>
      </w:r>
      <w:r>
        <w:t>The following lists out major changes:</w:t>
      </w:r>
    </w:p>
    <w:p w:rsidR="00FB5C03" w:rsidRDefault="00FB5C03" w:rsidP="00FB5C03">
      <w:pPr>
        <w:pStyle w:val="ListParagraph"/>
        <w:ind w:left="1440"/>
      </w:pPr>
    </w:p>
    <w:p w:rsidR="00FB5C03" w:rsidRDefault="00FB5C03" w:rsidP="00FB5C03">
      <w:pPr>
        <w:pStyle w:val="ListParagraph"/>
        <w:numPr>
          <w:ilvl w:val="2"/>
          <w:numId w:val="4"/>
        </w:numPr>
      </w:pPr>
      <w:r>
        <w:t>Deleted ORIS 2723 IDs 11C and 12C for NC.</w:t>
      </w:r>
    </w:p>
    <w:p w:rsidR="00FB5C03" w:rsidRDefault="00FB5C03" w:rsidP="00FB5C03">
      <w:pPr>
        <w:pStyle w:val="ListParagraph"/>
        <w:numPr>
          <w:ilvl w:val="2"/>
          <w:numId w:val="4"/>
        </w:numPr>
      </w:pPr>
      <w:r>
        <w:t>Added in ORIS/Unit ID information for the following facility/units for states that don’t typically report:  ORIS 465, ID 4 (CO); ORIS 1248, IDs CT-1, CT-2, CT-3, CT-4 (KS); ORIS 2790, CT6 (ND); ORIS 56237, CT03, CT04 (UT)</w:t>
      </w:r>
    </w:p>
    <w:p w:rsidR="00FB5C03" w:rsidRDefault="00FB5C03" w:rsidP="00FB5C03">
      <w:pPr>
        <w:pStyle w:val="ListParagraph"/>
        <w:numPr>
          <w:ilvl w:val="2"/>
          <w:numId w:val="4"/>
        </w:numPr>
      </w:pPr>
      <w:r>
        <w:t>Changed ORIS 6253, IDs P30 through P37 to nonEGUs as they caused a crash in MROZ for the Oil category.</w:t>
      </w:r>
    </w:p>
    <w:p w:rsidR="00FB5C03" w:rsidRDefault="00FB5C03" w:rsidP="00FB5C03">
      <w:pPr>
        <w:pStyle w:val="ListParagraph"/>
        <w:numPr>
          <w:ilvl w:val="2"/>
          <w:numId w:val="4"/>
        </w:numPr>
      </w:pPr>
      <w:r>
        <w:t>Deleted ORIS 994802 and 994804 for TX as they are on hold.  Changed 994803 ORIS codes to 58001 and changed 1 and 2 to CTG1 and CTG2.  Changed 994801 ORIS code to 58005 (all TX units)</w:t>
      </w:r>
    </w:p>
    <w:p w:rsidR="00FB5C03" w:rsidRDefault="00FB5C03" w:rsidP="00FB5C03">
      <w:pPr>
        <w:pStyle w:val="ListParagraph"/>
        <w:numPr>
          <w:ilvl w:val="2"/>
          <w:numId w:val="4"/>
        </w:numPr>
      </w:pPr>
      <w:r>
        <w:t>Changed 993404 to 56963 and renumbered 1 and 2 to E101 and E102.</w:t>
      </w:r>
    </w:p>
    <w:p w:rsidR="00FB5C03" w:rsidRDefault="00FB5C03" w:rsidP="00FB5C03">
      <w:pPr>
        <w:pStyle w:val="ListParagraph"/>
        <w:numPr>
          <w:ilvl w:val="2"/>
          <w:numId w:val="4"/>
        </w:numPr>
      </w:pPr>
      <w:r>
        <w:t>Changed 992601, Unit IDs N2601 and N2602 to ORIS 58427, Unit IDs 100 and 200.</w:t>
      </w:r>
    </w:p>
    <w:p w:rsidR="00FB5C03" w:rsidRDefault="00FB5C03" w:rsidP="00FB5C03">
      <w:pPr>
        <w:pStyle w:val="ListParagraph"/>
        <w:numPr>
          <w:ilvl w:val="2"/>
          <w:numId w:val="4"/>
        </w:numPr>
      </w:pPr>
      <w:r>
        <w:t>Changed 4937 U1 and U2 to CT-1 and CT-2.</w:t>
      </w:r>
    </w:p>
    <w:p w:rsidR="00FB5C03" w:rsidRDefault="00FB5C03" w:rsidP="00FB5C03">
      <w:pPr>
        <w:pStyle w:val="ListParagraph"/>
        <w:numPr>
          <w:ilvl w:val="2"/>
          <w:numId w:val="4"/>
        </w:numPr>
      </w:pPr>
      <w:r>
        <w:lastRenderedPageBreak/>
        <w:t>Removed the coal-to-gas conversion units for the nonEGU ORIS 992 as they caused a crash.</w:t>
      </w:r>
    </w:p>
    <w:p w:rsidR="00FB5C03" w:rsidRDefault="00FB5C03" w:rsidP="00FB5C03">
      <w:pPr>
        <w:pStyle w:val="ListParagraph"/>
        <w:numPr>
          <w:ilvl w:val="2"/>
          <w:numId w:val="4"/>
        </w:numPr>
      </w:pPr>
      <w:r>
        <w:t>Removed 994810 as it was a biomass unit and wouldn’t be grown.</w:t>
      </w:r>
    </w:p>
    <w:p w:rsidR="00FB5C03" w:rsidRPr="00024395" w:rsidRDefault="00FB5C03" w:rsidP="00FB5C03">
      <w:pPr>
        <w:pStyle w:val="ListParagraph"/>
        <w:numPr>
          <w:ilvl w:val="2"/>
          <w:numId w:val="4"/>
        </w:numPr>
      </w:pPr>
      <w:r>
        <w:t xml:space="preserve">Updated the RFCW and MROE regional boundaries to RFWZ and MROZ according to the files sent by R. Lopez called </w:t>
      </w:r>
      <w:proofErr w:type="spellStart"/>
      <w:r>
        <w:rPr>
          <w:b/>
        </w:rPr>
        <w:t>ERTAC_MROE</w:t>
      </w:r>
      <w:proofErr w:type="spellEnd"/>
      <w:r>
        <w:rPr>
          <w:b/>
        </w:rPr>
        <w:t xml:space="preserve"> corrected Region_adjustment_Summary2.xlsx.</w:t>
      </w:r>
    </w:p>
    <w:p w:rsidR="00FB5C03" w:rsidRDefault="00FB5C03" w:rsidP="00FB5C03">
      <w:pPr>
        <w:pStyle w:val="ListParagraph"/>
        <w:numPr>
          <w:ilvl w:val="2"/>
          <w:numId w:val="4"/>
        </w:numPr>
      </w:pPr>
      <w:r w:rsidRPr="00561DD9">
        <w:t xml:space="preserve">Updated the following MI new combined cycle units’ HR </w:t>
      </w:r>
      <w:proofErr w:type="gramStart"/>
      <w:r w:rsidRPr="00561DD9">
        <w:t>to 7,500 btu/</w:t>
      </w:r>
      <w:proofErr w:type="spellStart"/>
      <w:r w:rsidRPr="00561DD9">
        <w:t>kw-hr</w:t>
      </w:r>
      <w:proofErr w:type="spellEnd"/>
      <w:proofErr w:type="gramEnd"/>
      <w:r w:rsidRPr="00561DD9">
        <w:t xml:space="preserve"> from 10,000 btu/</w:t>
      </w:r>
      <w:proofErr w:type="spellStart"/>
      <w:r w:rsidRPr="00561DD9">
        <w:t>kw-hr</w:t>
      </w:r>
      <w:proofErr w:type="spellEnd"/>
      <w:r w:rsidRPr="00561DD9">
        <w:t>: ORIS 10745, N2604, N2605; ORIS 992601, N2601, N2602; ORIS 992603, N2603; ORIS 992605, N2608, N2909.</w:t>
      </w:r>
    </w:p>
    <w:p w:rsidR="00FB5C03" w:rsidRPr="00024395" w:rsidRDefault="00FB5C03" w:rsidP="00FB5C03">
      <w:pPr>
        <w:pStyle w:val="ListParagraph"/>
        <w:numPr>
          <w:ilvl w:val="2"/>
          <w:numId w:val="4"/>
        </w:numPr>
      </w:pPr>
      <w:r>
        <w:t>Changed the fuel/unit type from SC to CC for the following ORIS/Unit IDs based on info from MI:  55088 GT2100 and GT3100.</w:t>
      </w:r>
    </w:p>
    <w:p w:rsidR="00FB5C03" w:rsidRPr="00024395" w:rsidRDefault="00FB5C03" w:rsidP="00FB5C03">
      <w:pPr>
        <w:pStyle w:val="ListParagraph"/>
        <w:numPr>
          <w:ilvl w:val="0"/>
          <w:numId w:val="4"/>
        </w:numPr>
      </w:pPr>
      <w:r>
        <w:t>Controls File:</w:t>
      </w:r>
    </w:p>
    <w:p w:rsidR="00FB5C03" w:rsidRPr="001659DE" w:rsidRDefault="00FB5C03" w:rsidP="00FB5C03">
      <w:pPr>
        <w:pStyle w:val="ListParagraph"/>
        <w:numPr>
          <w:ilvl w:val="1"/>
          <w:numId w:val="4"/>
        </w:numPr>
      </w:pPr>
      <w:r>
        <w:t xml:space="preserve">For the 2.3 Reference case, I used the documentation controls file called </w:t>
      </w:r>
      <w:r w:rsidRPr="001659DE">
        <w:rPr>
          <w:b/>
        </w:rPr>
        <w:t>2011BASEControl File v2.3_13_14September 82014_code1_01.zip.</w:t>
      </w:r>
    </w:p>
    <w:p w:rsidR="00FB5C03" w:rsidRDefault="00FB5C03" w:rsidP="00FB5C03">
      <w:pPr>
        <w:pStyle w:val="ListParagraph"/>
        <w:numPr>
          <w:ilvl w:val="1"/>
          <w:numId w:val="4"/>
        </w:numPr>
      </w:pPr>
      <w:r>
        <w:t xml:space="preserve">Edits were made to state data that seemed to be typos and a detailed listing may be found in </w:t>
      </w:r>
      <w:proofErr w:type="gramStart"/>
      <w:r>
        <w:rPr>
          <w:b/>
        </w:rPr>
        <w:t>My</w:t>
      </w:r>
      <w:proofErr w:type="gramEnd"/>
      <w:r>
        <w:rPr>
          <w:b/>
        </w:rPr>
        <w:t xml:space="preserve"> changes for 2_3 from </w:t>
      </w:r>
      <w:proofErr w:type="spellStart"/>
      <w:r>
        <w:rPr>
          <w:b/>
        </w:rPr>
        <w:t>Wendys</w:t>
      </w:r>
      <w:proofErr w:type="spellEnd"/>
      <w:r>
        <w:rPr>
          <w:b/>
        </w:rPr>
        <w:t xml:space="preserve"> files.docx.</w:t>
      </w:r>
    </w:p>
    <w:p w:rsidR="00FB5C03" w:rsidRDefault="00FB5C03" w:rsidP="00FB5C03">
      <w:pPr>
        <w:pStyle w:val="ListParagraph"/>
        <w:numPr>
          <w:ilvl w:val="1"/>
          <w:numId w:val="4"/>
        </w:numPr>
      </w:pPr>
      <w:r>
        <w:t>Major changes are as follows:</w:t>
      </w:r>
    </w:p>
    <w:p w:rsidR="00FB5C03" w:rsidRDefault="00FB5C03" w:rsidP="00FB5C03">
      <w:pPr>
        <w:pStyle w:val="ListParagraph"/>
        <w:numPr>
          <w:ilvl w:val="2"/>
          <w:numId w:val="4"/>
        </w:numPr>
      </w:pPr>
      <w:r w:rsidRPr="00D73321">
        <w:t>Moved the NOx controls from the controls file to the seasonal controls file for the following GA units:  ORIS 703:  1BLR, 2BLR, 3BLR, 4BLR; ORIS 708:  4; ORIS 710:  4A, 4B, 5A, 5B, 6A, 6B; ORIS 6052:  1, 2; ORIS 6257:  1, 2, 3, 4.  Also, did this for 2 VA units:  ORIS 3797:  4, 5.</w:t>
      </w:r>
    </w:p>
    <w:p w:rsidR="00FB5C03" w:rsidRDefault="00FB5C03" w:rsidP="00FB5C03">
      <w:pPr>
        <w:pStyle w:val="ListParagraph"/>
        <w:numPr>
          <w:ilvl w:val="2"/>
          <w:numId w:val="4"/>
        </w:numPr>
      </w:pPr>
      <w:r>
        <w:t xml:space="preserve">Added 2790, unit ID CT6, with a NOx rate of 0.044 </w:t>
      </w:r>
      <w:proofErr w:type="spellStart"/>
      <w:r>
        <w:t>lbsl</w:t>
      </w:r>
      <w:proofErr w:type="spellEnd"/>
      <w:r>
        <w:t>/mmbtu based on information from ND.</w:t>
      </w:r>
    </w:p>
    <w:p w:rsidR="00FB5C03" w:rsidRDefault="00FB5C03" w:rsidP="00FB5C03">
      <w:pPr>
        <w:pStyle w:val="ListParagraph"/>
        <w:numPr>
          <w:ilvl w:val="2"/>
          <w:numId w:val="4"/>
        </w:numPr>
      </w:pPr>
      <w:r>
        <w:t>Deleted out the following ORIS as they are no longer in the UAF;  994802, 994804;  Deleted out the following ORIS/Units as they are no longer in the UAF:  2723, 11C &amp; 12C; Deleted out the following ORIS/Units as they are already controlled in 2011 and appear to have the incorrect ORIS assigned, based on the facility name (</w:t>
      </w:r>
      <w:proofErr w:type="spellStart"/>
      <w:r>
        <w:t>NCEMC</w:t>
      </w:r>
      <w:proofErr w:type="spellEnd"/>
      <w:r>
        <w:t xml:space="preserve">-Hamlet):  ORIS 2712, IDs ES-6-A, ES-6-B  </w:t>
      </w:r>
    </w:p>
    <w:p w:rsidR="00FB5C03" w:rsidRPr="00220F97" w:rsidRDefault="00FB5C03" w:rsidP="00FB5C03">
      <w:pPr>
        <w:pStyle w:val="ListParagraph"/>
        <w:numPr>
          <w:ilvl w:val="2"/>
          <w:numId w:val="4"/>
        </w:numPr>
      </w:pPr>
      <w:r>
        <w:t xml:space="preserve">Changed the NOx rates for the units listed in NY’s email attachment called </w:t>
      </w:r>
      <w:r>
        <w:rPr>
          <w:b/>
        </w:rPr>
        <w:t>CONUS_V2 2 2018_NYSDEC_revisions.xlsx.</w:t>
      </w:r>
    </w:p>
    <w:p w:rsidR="00FB5C03" w:rsidRPr="00D73321" w:rsidRDefault="00FB5C03" w:rsidP="00FB5C03">
      <w:pPr>
        <w:pStyle w:val="ListParagraph"/>
        <w:ind w:left="2160"/>
      </w:pPr>
    </w:p>
    <w:tbl>
      <w:tblPr>
        <w:tblW w:w="7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0"/>
        <w:gridCol w:w="940"/>
        <w:gridCol w:w="3417"/>
        <w:gridCol w:w="2327"/>
      </w:tblGrid>
      <w:tr w:rsidR="00FB5C03" w:rsidRPr="00220F97" w:rsidTr="001C724E">
        <w:trPr>
          <w:trHeight w:val="300"/>
          <w:tblHeader/>
          <w:jc w:val="center"/>
        </w:trPr>
        <w:tc>
          <w:tcPr>
            <w:tcW w:w="940" w:type="dxa"/>
            <w:shd w:val="clear" w:color="auto" w:fill="auto"/>
            <w:noWrap/>
            <w:vAlign w:val="bottom"/>
            <w:hideMark/>
          </w:tcPr>
          <w:p w:rsidR="00FB5C03" w:rsidRPr="00220F97" w:rsidRDefault="00FB5C03" w:rsidP="001C724E">
            <w:pPr>
              <w:spacing w:line="240" w:lineRule="auto"/>
              <w:jc w:val="center"/>
              <w:rPr>
                <w:rFonts w:eastAsia="Times New Roman" w:cs="Times New Roman"/>
                <w:b/>
              </w:rPr>
            </w:pPr>
            <w:r w:rsidRPr="00220F97">
              <w:rPr>
                <w:rFonts w:eastAsia="Times New Roman" w:cs="Times New Roman"/>
                <w:b/>
                <w:sz w:val="22"/>
              </w:rPr>
              <w:t>ORIS</w:t>
            </w:r>
          </w:p>
        </w:tc>
        <w:tc>
          <w:tcPr>
            <w:tcW w:w="940" w:type="dxa"/>
            <w:shd w:val="clear" w:color="auto" w:fill="auto"/>
            <w:noWrap/>
            <w:vAlign w:val="bottom"/>
            <w:hideMark/>
          </w:tcPr>
          <w:p w:rsidR="00FB5C03" w:rsidRPr="00220F97" w:rsidRDefault="00FB5C03" w:rsidP="001C724E">
            <w:pPr>
              <w:spacing w:line="240" w:lineRule="auto"/>
              <w:jc w:val="center"/>
              <w:rPr>
                <w:rFonts w:eastAsia="Times New Roman" w:cs="Times New Roman"/>
                <w:b/>
              </w:rPr>
            </w:pPr>
            <w:r w:rsidRPr="00220F97">
              <w:rPr>
                <w:rFonts w:eastAsia="Times New Roman" w:cs="Times New Roman"/>
                <w:b/>
                <w:sz w:val="22"/>
              </w:rPr>
              <w:t>Unit ID</w:t>
            </w:r>
          </w:p>
        </w:tc>
        <w:tc>
          <w:tcPr>
            <w:tcW w:w="3417" w:type="dxa"/>
            <w:shd w:val="clear" w:color="auto" w:fill="auto"/>
            <w:noWrap/>
            <w:vAlign w:val="bottom"/>
            <w:hideMark/>
          </w:tcPr>
          <w:p w:rsidR="00FB5C03" w:rsidRPr="00220F97" w:rsidRDefault="00FB5C03" w:rsidP="001C724E">
            <w:pPr>
              <w:spacing w:line="240" w:lineRule="auto"/>
              <w:jc w:val="center"/>
              <w:rPr>
                <w:rFonts w:eastAsia="Times New Roman" w:cs="Times New Roman"/>
                <w:b/>
              </w:rPr>
            </w:pPr>
            <w:r w:rsidRPr="00220F97">
              <w:rPr>
                <w:rFonts w:eastAsia="Times New Roman" w:cs="Times New Roman"/>
                <w:b/>
                <w:sz w:val="22"/>
              </w:rPr>
              <w:t>Facility</w:t>
            </w:r>
          </w:p>
        </w:tc>
        <w:tc>
          <w:tcPr>
            <w:tcW w:w="2327" w:type="dxa"/>
            <w:vAlign w:val="bottom"/>
          </w:tcPr>
          <w:p w:rsidR="00FB5C03" w:rsidRPr="00220F97" w:rsidRDefault="00FB5C03" w:rsidP="001C724E">
            <w:pPr>
              <w:jc w:val="center"/>
              <w:rPr>
                <w:rFonts w:cs="Times New Roman"/>
                <w:b/>
                <w:bCs/>
              </w:rPr>
            </w:pPr>
            <w:r w:rsidRPr="00220F97">
              <w:rPr>
                <w:rFonts w:cs="Times New Roman"/>
                <w:b/>
                <w:bCs/>
                <w:sz w:val="22"/>
              </w:rPr>
              <w:t>NY Revised NOx Rate</w:t>
            </w:r>
          </w:p>
        </w:tc>
      </w:tr>
      <w:tr w:rsidR="00FB5C03" w:rsidRPr="00D73321" w:rsidTr="001C724E">
        <w:trPr>
          <w:trHeight w:val="300"/>
          <w:jc w:val="center"/>
        </w:trPr>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2516</w:t>
            </w:r>
          </w:p>
        </w:tc>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4</w:t>
            </w:r>
          </w:p>
        </w:tc>
        <w:tc>
          <w:tcPr>
            <w:tcW w:w="3417" w:type="dxa"/>
            <w:shd w:val="clear" w:color="000000" w:fill="B3C6E7"/>
            <w:noWrap/>
            <w:vAlign w:val="bottom"/>
            <w:hideMark/>
          </w:tcPr>
          <w:p w:rsidR="00FB5C03" w:rsidRPr="00D73321" w:rsidRDefault="00FB5C03" w:rsidP="001C724E">
            <w:pPr>
              <w:spacing w:line="240" w:lineRule="auto"/>
              <w:rPr>
                <w:rFonts w:eastAsia="Times New Roman" w:cs="Times New Roman"/>
              </w:rPr>
            </w:pPr>
            <w:r w:rsidRPr="00D73321">
              <w:rPr>
                <w:rFonts w:eastAsia="Times New Roman" w:cs="Times New Roman"/>
                <w:sz w:val="22"/>
              </w:rPr>
              <w:t>Northport</w:t>
            </w:r>
          </w:p>
        </w:tc>
        <w:tc>
          <w:tcPr>
            <w:tcW w:w="2327" w:type="dxa"/>
            <w:shd w:val="clear" w:color="000000" w:fill="B3C6E7"/>
            <w:vAlign w:val="bottom"/>
          </w:tcPr>
          <w:p w:rsidR="00FB5C03" w:rsidRPr="00D73321" w:rsidRDefault="00FB5C03" w:rsidP="001C724E">
            <w:pPr>
              <w:jc w:val="right"/>
              <w:rPr>
                <w:rFonts w:cs="Times New Roman"/>
                <w:b/>
                <w:bCs/>
              </w:rPr>
            </w:pPr>
            <w:r w:rsidRPr="00D73321">
              <w:rPr>
                <w:rFonts w:cs="Times New Roman"/>
                <w:b/>
                <w:bCs/>
                <w:sz w:val="22"/>
              </w:rPr>
              <w:t>0.0573</w:t>
            </w:r>
          </w:p>
        </w:tc>
      </w:tr>
      <w:tr w:rsidR="00FB5C03" w:rsidRPr="00D73321" w:rsidTr="001C724E">
        <w:trPr>
          <w:trHeight w:val="300"/>
          <w:jc w:val="center"/>
        </w:trPr>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2490</w:t>
            </w:r>
          </w:p>
        </w:tc>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20</w:t>
            </w:r>
          </w:p>
        </w:tc>
        <w:tc>
          <w:tcPr>
            <w:tcW w:w="3417" w:type="dxa"/>
            <w:shd w:val="clear" w:color="000000" w:fill="B3C6E7"/>
            <w:noWrap/>
            <w:vAlign w:val="bottom"/>
            <w:hideMark/>
          </w:tcPr>
          <w:p w:rsidR="00FB5C03" w:rsidRPr="00D73321" w:rsidRDefault="00FB5C03" w:rsidP="001C724E">
            <w:pPr>
              <w:spacing w:line="240" w:lineRule="auto"/>
              <w:rPr>
                <w:rFonts w:eastAsia="Times New Roman" w:cs="Times New Roman"/>
              </w:rPr>
            </w:pPr>
            <w:r w:rsidRPr="00D73321">
              <w:rPr>
                <w:rFonts w:eastAsia="Times New Roman" w:cs="Times New Roman"/>
                <w:sz w:val="22"/>
              </w:rPr>
              <w:t>Arthur Kill</w:t>
            </w:r>
          </w:p>
        </w:tc>
        <w:tc>
          <w:tcPr>
            <w:tcW w:w="2327" w:type="dxa"/>
            <w:shd w:val="clear" w:color="000000" w:fill="B3C6E7"/>
            <w:vAlign w:val="bottom"/>
          </w:tcPr>
          <w:p w:rsidR="00FB5C03" w:rsidRPr="00D73321" w:rsidRDefault="00FB5C03" w:rsidP="001C724E">
            <w:pPr>
              <w:jc w:val="right"/>
              <w:rPr>
                <w:rFonts w:cs="Times New Roman"/>
                <w:b/>
                <w:bCs/>
              </w:rPr>
            </w:pPr>
            <w:r w:rsidRPr="00D73321">
              <w:rPr>
                <w:rFonts w:cs="Times New Roman"/>
                <w:b/>
                <w:bCs/>
                <w:sz w:val="22"/>
              </w:rPr>
              <w:t>0.0894</w:t>
            </w:r>
          </w:p>
        </w:tc>
      </w:tr>
      <w:tr w:rsidR="00FB5C03" w:rsidRPr="00D73321" w:rsidTr="001C724E">
        <w:trPr>
          <w:trHeight w:val="300"/>
          <w:jc w:val="center"/>
        </w:trPr>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2516</w:t>
            </w:r>
          </w:p>
        </w:tc>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3</w:t>
            </w:r>
          </w:p>
        </w:tc>
        <w:tc>
          <w:tcPr>
            <w:tcW w:w="3417" w:type="dxa"/>
            <w:shd w:val="clear" w:color="000000" w:fill="B3C6E7"/>
            <w:noWrap/>
            <w:vAlign w:val="bottom"/>
            <w:hideMark/>
          </w:tcPr>
          <w:p w:rsidR="00FB5C03" w:rsidRPr="00D73321" w:rsidRDefault="00FB5C03" w:rsidP="001C724E">
            <w:pPr>
              <w:spacing w:line="240" w:lineRule="auto"/>
              <w:rPr>
                <w:rFonts w:eastAsia="Times New Roman" w:cs="Times New Roman"/>
              </w:rPr>
            </w:pPr>
            <w:r w:rsidRPr="00D73321">
              <w:rPr>
                <w:rFonts w:eastAsia="Times New Roman" w:cs="Times New Roman"/>
                <w:sz w:val="22"/>
              </w:rPr>
              <w:t>Northport</w:t>
            </w:r>
          </w:p>
        </w:tc>
        <w:tc>
          <w:tcPr>
            <w:tcW w:w="2327" w:type="dxa"/>
            <w:shd w:val="clear" w:color="000000" w:fill="B3C6E7"/>
            <w:vAlign w:val="bottom"/>
          </w:tcPr>
          <w:p w:rsidR="00FB5C03" w:rsidRPr="00D73321" w:rsidRDefault="00FB5C03" w:rsidP="001C724E">
            <w:pPr>
              <w:jc w:val="right"/>
              <w:rPr>
                <w:rFonts w:cs="Times New Roman"/>
                <w:b/>
                <w:bCs/>
              </w:rPr>
            </w:pPr>
            <w:r w:rsidRPr="00D73321">
              <w:rPr>
                <w:rFonts w:cs="Times New Roman"/>
                <w:b/>
                <w:bCs/>
                <w:sz w:val="22"/>
              </w:rPr>
              <w:t>0.1094</w:t>
            </w:r>
          </w:p>
        </w:tc>
      </w:tr>
      <w:tr w:rsidR="00FB5C03" w:rsidRPr="00D73321" w:rsidTr="001C724E">
        <w:trPr>
          <w:trHeight w:val="300"/>
          <w:jc w:val="center"/>
        </w:trPr>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2511</w:t>
            </w:r>
          </w:p>
        </w:tc>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10</w:t>
            </w:r>
          </w:p>
        </w:tc>
        <w:tc>
          <w:tcPr>
            <w:tcW w:w="3417" w:type="dxa"/>
            <w:shd w:val="clear" w:color="000000" w:fill="B3C6E7"/>
            <w:noWrap/>
            <w:vAlign w:val="bottom"/>
            <w:hideMark/>
          </w:tcPr>
          <w:p w:rsidR="00FB5C03" w:rsidRPr="00D73321" w:rsidRDefault="00FB5C03" w:rsidP="001C724E">
            <w:pPr>
              <w:spacing w:line="240" w:lineRule="auto"/>
              <w:rPr>
                <w:rFonts w:eastAsia="Times New Roman" w:cs="Times New Roman"/>
              </w:rPr>
            </w:pPr>
            <w:r w:rsidRPr="00D73321">
              <w:rPr>
                <w:rFonts w:eastAsia="Times New Roman" w:cs="Times New Roman"/>
                <w:sz w:val="22"/>
              </w:rPr>
              <w:t>E F Barrett</w:t>
            </w:r>
          </w:p>
        </w:tc>
        <w:tc>
          <w:tcPr>
            <w:tcW w:w="2327" w:type="dxa"/>
            <w:shd w:val="clear" w:color="000000" w:fill="B3C6E7"/>
            <w:vAlign w:val="bottom"/>
          </w:tcPr>
          <w:p w:rsidR="00FB5C03" w:rsidRPr="00D73321" w:rsidRDefault="00FB5C03" w:rsidP="001C724E">
            <w:pPr>
              <w:jc w:val="right"/>
              <w:rPr>
                <w:rFonts w:cs="Times New Roman"/>
                <w:b/>
                <w:bCs/>
              </w:rPr>
            </w:pPr>
            <w:r w:rsidRPr="00D73321">
              <w:rPr>
                <w:rFonts w:cs="Times New Roman"/>
                <w:b/>
                <w:bCs/>
                <w:sz w:val="22"/>
              </w:rPr>
              <w:t>0.0798</w:t>
            </w:r>
          </w:p>
        </w:tc>
      </w:tr>
      <w:tr w:rsidR="00FB5C03" w:rsidRPr="00D73321" w:rsidTr="001C724E">
        <w:trPr>
          <w:trHeight w:val="300"/>
          <w:jc w:val="center"/>
        </w:trPr>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2490</w:t>
            </w:r>
          </w:p>
        </w:tc>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30</w:t>
            </w:r>
          </w:p>
        </w:tc>
        <w:tc>
          <w:tcPr>
            <w:tcW w:w="3417" w:type="dxa"/>
            <w:shd w:val="clear" w:color="000000" w:fill="B3C6E7"/>
            <w:noWrap/>
            <w:vAlign w:val="bottom"/>
            <w:hideMark/>
          </w:tcPr>
          <w:p w:rsidR="00FB5C03" w:rsidRPr="00D73321" w:rsidRDefault="00FB5C03" w:rsidP="001C724E">
            <w:pPr>
              <w:spacing w:line="240" w:lineRule="auto"/>
              <w:rPr>
                <w:rFonts w:eastAsia="Times New Roman" w:cs="Times New Roman"/>
              </w:rPr>
            </w:pPr>
            <w:r w:rsidRPr="00D73321">
              <w:rPr>
                <w:rFonts w:eastAsia="Times New Roman" w:cs="Times New Roman"/>
                <w:sz w:val="22"/>
              </w:rPr>
              <w:t>Arthur Kill</w:t>
            </w:r>
          </w:p>
        </w:tc>
        <w:tc>
          <w:tcPr>
            <w:tcW w:w="2327" w:type="dxa"/>
            <w:shd w:val="clear" w:color="000000" w:fill="B3C6E7"/>
            <w:vAlign w:val="bottom"/>
          </w:tcPr>
          <w:p w:rsidR="00FB5C03" w:rsidRPr="00D73321" w:rsidRDefault="00FB5C03" w:rsidP="001C724E">
            <w:pPr>
              <w:jc w:val="right"/>
              <w:rPr>
                <w:rFonts w:cs="Times New Roman"/>
                <w:b/>
                <w:bCs/>
              </w:rPr>
            </w:pPr>
            <w:r w:rsidRPr="00D73321">
              <w:rPr>
                <w:rFonts w:cs="Times New Roman"/>
                <w:b/>
                <w:bCs/>
                <w:sz w:val="22"/>
              </w:rPr>
              <w:t>0.0906</w:t>
            </w:r>
          </w:p>
        </w:tc>
      </w:tr>
      <w:tr w:rsidR="00FB5C03" w:rsidRPr="00D73321" w:rsidTr="001C724E">
        <w:trPr>
          <w:trHeight w:val="300"/>
          <w:jc w:val="center"/>
        </w:trPr>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2500</w:t>
            </w:r>
          </w:p>
        </w:tc>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10</w:t>
            </w:r>
          </w:p>
        </w:tc>
        <w:tc>
          <w:tcPr>
            <w:tcW w:w="3417" w:type="dxa"/>
            <w:shd w:val="clear" w:color="000000" w:fill="B3C6E7"/>
            <w:noWrap/>
            <w:vAlign w:val="bottom"/>
            <w:hideMark/>
          </w:tcPr>
          <w:p w:rsidR="00FB5C03" w:rsidRPr="00D73321" w:rsidRDefault="00FB5C03" w:rsidP="001C724E">
            <w:pPr>
              <w:spacing w:line="240" w:lineRule="auto"/>
              <w:rPr>
                <w:rFonts w:eastAsia="Times New Roman" w:cs="Times New Roman"/>
              </w:rPr>
            </w:pPr>
            <w:r w:rsidRPr="00D73321">
              <w:rPr>
                <w:rFonts w:eastAsia="Times New Roman" w:cs="Times New Roman"/>
                <w:sz w:val="22"/>
              </w:rPr>
              <w:t>Ravenswood Generating Station</w:t>
            </w:r>
          </w:p>
        </w:tc>
        <w:tc>
          <w:tcPr>
            <w:tcW w:w="2327" w:type="dxa"/>
            <w:shd w:val="clear" w:color="000000" w:fill="B3C6E7"/>
            <w:vAlign w:val="bottom"/>
          </w:tcPr>
          <w:p w:rsidR="00FB5C03" w:rsidRPr="00D73321" w:rsidRDefault="00FB5C03" w:rsidP="001C724E">
            <w:pPr>
              <w:jc w:val="right"/>
              <w:rPr>
                <w:rFonts w:cs="Times New Roman"/>
                <w:b/>
                <w:bCs/>
              </w:rPr>
            </w:pPr>
            <w:r w:rsidRPr="00D73321">
              <w:rPr>
                <w:rFonts w:cs="Times New Roman"/>
                <w:b/>
                <w:bCs/>
                <w:sz w:val="22"/>
              </w:rPr>
              <w:t>0.0662</w:t>
            </w:r>
          </w:p>
        </w:tc>
      </w:tr>
      <w:tr w:rsidR="00FB5C03" w:rsidRPr="00D73321" w:rsidTr="001C724E">
        <w:trPr>
          <w:trHeight w:val="300"/>
          <w:jc w:val="center"/>
        </w:trPr>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2516</w:t>
            </w:r>
          </w:p>
        </w:tc>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2</w:t>
            </w:r>
          </w:p>
        </w:tc>
        <w:tc>
          <w:tcPr>
            <w:tcW w:w="3417" w:type="dxa"/>
            <w:shd w:val="clear" w:color="000000" w:fill="B3C6E7"/>
            <w:noWrap/>
            <w:vAlign w:val="bottom"/>
            <w:hideMark/>
          </w:tcPr>
          <w:p w:rsidR="00FB5C03" w:rsidRPr="00D73321" w:rsidRDefault="00FB5C03" w:rsidP="001C724E">
            <w:pPr>
              <w:spacing w:line="240" w:lineRule="auto"/>
              <w:rPr>
                <w:rFonts w:eastAsia="Times New Roman" w:cs="Times New Roman"/>
              </w:rPr>
            </w:pPr>
            <w:r w:rsidRPr="00D73321">
              <w:rPr>
                <w:rFonts w:eastAsia="Times New Roman" w:cs="Times New Roman"/>
                <w:sz w:val="22"/>
              </w:rPr>
              <w:t>Northport</w:t>
            </w:r>
          </w:p>
        </w:tc>
        <w:tc>
          <w:tcPr>
            <w:tcW w:w="2327" w:type="dxa"/>
            <w:shd w:val="clear" w:color="000000" w:fill="B3C6E7"/>
            <w:vAlign w:val="bottom"/>
          </w:tcPr>
          <w:p w:rsidR="00FB5C03" w:rsidRPr="00D73321" w:rsidRDefault="00FB5C03" w:rsidP="001C724E">
            <w:pPr>
              <w:jc w:val="right"/>
              <w:rPr>
                <w:rFonts w:cs="Times New Roman"/>
                <w:b/>
                <w:bCs/>
              </w:rPr>
            </w:pPr>
            <w:r w:rsidRPr="00D73321">
              <w:rPr>
                <w:rFonts w:cs="Times New Roman"/>
                <w:b/>
                <w:bCs/>
                <w:sz w:val="22"/>
              </w:rPr>
              <w:t>0.1006</w:t>
            </w:r>
          </w:p>
        </w:tc>
      </w:tr>
      <w:tr w:rsidR="00FB5C03" w:rsidRPr="00D73321" w:rsidTr="001C724E">
        <w:trPr>
          <w:trHeight w:val="300"/>
          <w:jc w:val="center"/>
        </w:trPr>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lastRenderedPageBreak/>
              <w:t>2500</w:t>
            </w:r>
          </w:p>
        </w:tc>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30</w:t>
            </w:r>
          </w:p>
        </w:tc>
        <w:tc>
          <w:tcPr>
            <w:tcW w:w="3417" w:type="dxa"/>
            <w:shd w:val="clear" w:color="000000" w:fill="B3C6E7"/>
            <w:noWrap/>
            <w:vAlign w:val="bottom"/>
            <w:hideMark/>
          </w:tcPr>
          <w:p w:rsidR="00FB5C03" w:rsidRPr="00D73321" w:rsidRDefault="00FB5C03" w:rsidP="001C724E">
            <w:pPr>
              <w:spacing w:line="240" w:lineRule="auto"/>
              <w:rPr>
                <w:rFonts w:eastAsia="Times New Roman" w:cs="Times New Roman"/>
              </w:rPr>
            </w:pPr>
            <w:r w:rsidRPr="00D73321">
              <w:rPr>
                <w:rFonts w:eastAsia="Times New Roman" w:cs="Times New Roman"/>
                <w:sz w:val="22"/>
              </w:rPr>
              <w:t>Ravenswood Generating Station</w:t>
            </w:r>
          </w:p>
        </w:tc>
        <w:tc>
          <w:tcPr>
            <w:tcW w:w="2327" w:type="dxa"/>
            <w:shd w:val="clear" w:color="000000" w:fill="B3C6E7"/>
            <w:vAlign w:val="bottom"/>
          </w:tcPr>
          <w:p w:rsidR="00FB5C03" w:rsidRPr="00D73321" w:rsidRDefault="00FB5C03" w:rsidP="001C724E">
            <w:pPr>
              <w:jc w:val="right"/>
              <w:rPr>
                <w:rFonts w:cs="Times New Roman"/>
                <w:b/>
                <w:bCs/>
              </w:rPr>
            </w:pPr>
            <w:r w:rsidRPr="00D73321">
              <w:rPr>
                <w:rFonts w:cs="Times New Roman"/>
                <w:b/>
                <w:bCs/>
                <w:sz w:val="22"/>
              </w:rPr>
              <w:t>0.0822</w:t>
            </w:r>
          </w:p>
        </w:tc>
      </w:tr>
      <w:tr w:rsidR="00FB5C03" w:rsidRPr="00D73321" w:rsidTr="001C724E">
        <w:trPr>
          <w:trHeight w:val="300"/>
          <w:jc w:val="center"/>
        </w:trPr>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2516</w:t>
            </w:r>
          </w:p>
        </w:tc>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1</w:t>
            </w:r>
          </w:p>
        </w:tc>
        <w:tc>
          <w:tcPr>
            <w:tcW w:w="3417" w:type="dxa"/>
            <w:shd w:val="clear" w:color="000000" w:fill="B3C6E7"/>
            <w:noWrap/>
            <w:vAlign w:val="bottom"/>
            <w:hideMark/>
          </w:tcPr>
          <w:p w:rsidR="00FB5C03" w:rsidRPr="00D73321" w:rsidRDefault="00FB5C03" w:rsidP="001C724E">
            <w:pPr>
              <w:spacing w:line="240" w:lineRule="auto"/>
              <w:rPr>
                <w:rFonts w:eastAsia="Times New Roman" w:cs="Times New Roman"/>
              </w:rPr>
            </w:pPr>
            <w:r w:rsidRPr="00D73321">
              <w:rPr>
                <w:rFonts w:eastAsia="Times New Roman" w:cs="Times New Roman"/>
                <w:sz w:val="22"/>
              </w:rPr>
              <w:t>Northport</w:t>
            </w:r>
          </w:p>
        </w:tc>
        <w:tc>
          <w:tcPr>
            <w:tcW w:w="2327" w:type="dxa"/>
            <w:shd w:val="clear" w:color="000000" w:fill="B3C6E7"/>
            <w:vAlign w:val="bottom"/>
          </w:tcPr>
          <w:p w:rsidR="00FB5C03" w:rsidRPr="00D73321" w:rsidRDefault="00FB5C03" w:rsidP="001C724E">
            <w:pPr>
              <w:jc w:val="right"/>
              <w:rPr>
                <w:rFonts w:cs="Times New Roman"/>
                <w:b/>
                <w:bCs/>
              </w:rPr>
            </w:pPr>
            <w:r w:rsidRPr="00D73321">
              <w:rPr>
                <w:rFonts w:cs="Times New Roman"/>
                <w:b/>
                <w:bCs/>
                <w:sz w:val="22"/>
              </w:rPr>
              <w:t>0.0977</w:t>
            </w:r>
          </w:p>
        </w:tc>
      </w:tr>
      <w:tr w:rsidR="00FB5C03" w:rsidRPr="00D73321" w:rsidTr="001C724E">
        <w:trPr>
          <w:trHeight w:val="300"/>
          <w:jc w:val="center"/>
        </w:trPr>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2500</w:t>
            </w:r>
          </w:p>
        </w:tc>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20</w:t>
            </w:r>
          </w:p>
        </w:tc>
        <w:tc>
          <w:tcPr>
            <w:tcW w:w="3417" w:type="dxa"/>
            <w:shd w:val="clear" w:color="000000" w:fill="B3C6E7"/>
            <w:noWrap/>
            <w:vAlign w:val="bottom"/>
            <w:hideMark/>
          </w:tcPr>
          <w:p w:rsidR="00FB5C03" w:rsidRPr="00D73321" w:rsidRDefault="00FB5C03" w:rsidP="001C724E">
            <w:pPr>
              <w:spacing w:line="240" w:lineRule="auto"/>
              <w:rPr>
                <w:rFonts w:eastAsia="Times New Roman" w:cs="Times New Roman"/>
              </w:rPr>
            </w:pPr>
            <w:r w:rsidRPr="00D73321">
              <w:rPr>
                <w:rFonts w:eastAsia="Times New Roman" w:cs="Times New Roman"/>
                <w:sz w:val="22"/>
              </w:rPr>
              <w:t>Ravenswood Generating Station</w:t>
            </w:r>
          </w:p>
        </w:tc>
        <w:tc>
          <w:tcPr>
            <w:tcW w:w="2327" w:type="dxa"/>
            <w:shd w:val="clear" w:color="000000" w:fill="B3C6E7"/>
            <w:vAlign w:val="bottom"/>
          </w:tcPr>
          <w:p w:rsidR="00FB5C03" w:rsidRPr="00D73321" w:rsidRDefault="00FB5C03" w:rsidP="001C724E">
            <w:pPr>
              <w:jc w:val="right"/>
              <w:rPr>
                <w:rFonts w:cs="Times New Roman"/>
                <w:b/>
                <w:bCs/>
              </w:rPr>
            </w:pPr>
            <w:r w:rsidRPr="00D73321">
              <w:rPr>
                <w:rFonts w:cs="Times New Roman"/>
                <w:b/>
                <w:bCs/>
                <w:sz w:val="22"/>
              </w:rPr>
              <w:t>0.0700</w:t>
            </w:r>
          </w:p>
        </w:tc>
      </w:tr>
      <w:tr w:rsidR="00FB5C03" w:rsidRPr="00D73321" w:rsidTr="001C724E">
        <w:trPr>
          <w:trHeight w:val="300"/>
          <w:jc w:val="center"/>
        </w:trPr>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2511</w:t>
            </w:r>
          </w:p>
        </w:tc>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20</w:t>
            </w:r>
          </w:p>
        </w:tc>
        <w:tc>
          <w:tcPr>
            <w:tcW w:w="3417" w:type="dxa"/>
            <w:shd w:val="clear" w:color="000000" w:fill="B3C6E7"/>
            <w:noWrap/>
            <w:vAlign w:val="bottom"/>
            <w:hideMark/>
          </w:tcPr>
          <w:p w:rsidR="00FB5C03" w:rsidRPr="00D73321" w:rsidRDefault="00FB5C03" w:rsidP="001C724E">
            <w:pPr>
              <w:spacing w:line="240" w:lineRule="auto"/>
              <w:rPr>
                <w:rFonts w:eastAsia="Times New Roman" w:cs="Times New Roman"/>
              </w:rPr>
            </w:pPr>
            <w:r w:rsidRPr="00D73321">
              <w:rPr>
                <w:rFonts w:eastAsia="Times New Roman" w:cs="Times New Roman"/>
                <w:sz w:val="22"/>
              </w:rPr>
              <w:t>E F Barrett</w:t>
            </w:r>
          </w:p>
        </w:tc>
        <w:tc>
          <w:tcPr>
            <w:tcW w:w="2327" w:type="dxa"/>
            <w:shd w:val="clear" w:color="000000" w:fill="B3C6E7"/>
            <w:vAlign w:val="bottom"/>
          </w:tcPr>
          <w:p w:rsidR="00FB5C03" w:rsidRPr="00D73321" w:rsidRDefault="00FB5C03" w:rsidP="001C724E">
            <w:pPr>
              <w:jc w:val="right"/>
              <w:rPr>
                <w:rFonts w:cs="Times New Roman"/>
                <w:b/>
                <w:bCs/>
              </w:rPr>
            </w:pPr>
            <w:r w:rsidRPr="00D73321">
              <w:rPr>
                <w:rFonts w:cs="Times New Roman"/>
                <w:b/>
                <w:bCs/>
                <w:sz w:val="22"/>
              </w:rPr>
              <w:t>0.0481</w:t>
            </w:r>
          </w:p>
        </w:tc>
      </w:tr>
      <w:tr w:rsidR="00FB5C03" w:rsidRPr="00D73321" w:rsidTr="001C724E">
        <w:trPr>
          <w:trHeight w:val="300"/>
          <w:jc w:val="center"/>
        </w:trPr>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2517</w:t>
            </w:r>
          </w:p>
        </w:tc>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4</w:t>
            </w:r>
          </w:p>
        </w:tc>
        <w:tc>
          <w:tcPr>
            <w:tcW w:w="3417" w:type="dxa"/>
            <w:shd w:val="clear" w:color="000000" w:fill="B3C6E7"/>
            <w:noWrap/>
            <w:vAlign w:val="bottom"/>
            <w:hideMark/>
          </w:tcPr>
          <w:p w:rsidR="00FB5C03" w:rsidRPr="00D73321" w:rsidRDefault="00FB5C03" w:rsidP="001C724E">
            <w:pPr>
              <w:spacing w:line="240" w:lineRule="auto"/>
              <w:rPr>
                <w:rFonts w:eastAsia="Times New Roman" w:cs="Times New Roman"/>
              </w:rPr>
            </w:pPr>
            <w:r w:rsidRPr="00D73321">
              <w:rPr>
                <w:rFonts w:eastAsia="Times New Roman" w:cs="Times New Roman"/>
                <w:sz w:val="22"/>
              </w:rPr>
              <w:t>Port Jefferson Energy Center</w:t>
            </w:r>
          </w:p>
        </w:tc>
        <w:tc>
          <w:tcPr>
            <w:tcW w:w="2327" w:type="dxa"/>
            <w:shd w:val="clear" w:color="000000" w:fill="B3C6E7"/>
            <w:vAlign w:val="bottom"/>
          </w:tcPr>
          <w:p w:rsidR="00FB5C03" w:rsidRPr="00D73321" w:rsidRDefault="00FB5C03" w:rsidP="001C724E">
            <w:pPr>
              <w:jc w:val="right"/>
              <w:rPr>
                <w:rFonts w:cs="Times New Roman"/>
                <w:b/>
                <w:bCs/>
              </w:rPr>
            </w:pPr>
            <w:r w:rsidRPr="00D73321">
              <w:rPr>
                <w:rFonts w:cs="Times New Roman"/>
                <w:b/>
                <w:bCs/>
                <w:sz w:val="22"/>
              </w:rPr>
              <w:t>0.0573</w:t>
            </w:r>
          </w:p>
        </w:tc>
      </w:tr>
      <w:tr w:rsidR="00FB5C03" w:rsidRPr="00D73321" w:rsidTr="001C724E">
        <w:trPr>
          <w:trHeight w:val="300"/>
          <w:jc w:val="center"/>
        </w:trPr>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2517</w:t>
            </w:r>
          </w:p>
        </w:tc>
        <w:tc>
          <w:tcPr>
            <w:tcW w:w="940" w:type="dxa"/>
            <w:shd w:val="clear" w:color="000000" w:fill="B3C6E7"/>
            <w:noWrap/>
            <w:vAlign w:val="bottom"/>
            <w:hideMark/>
          </w:tcPr>
          <w:p w:rsidR="00FB5C03" w:rsidRPr="00D73321" w:rsidRDefault="00FB5C03" w:rsidP="001C724E">
            <w:pPr>
              <w:spacing w:line="240" w:lineRule="auto"/>
              <w:jc w:val="right"/>
              <w:rPr>
                <w:rFonts w:eastAsia="Times New Roman" w:cs="Times New Roman"/>
              </w:rPr>
            </w:pPr>
            <w:r w:rsidRPr="00D73321">
              <w:rPr>
                <w:rFonts w:eastAsia="Times New Roman" w:cs="Times New Roman"/>
                <w:sz w:val="22"/>
              </w:rPr>
              <w:t>3</w:t>
            </w:r>
          </w:p>
        </w:tc>
        <w:tc>
          <w:tcPr>
            <w:tcW w:w="3417" w:type="dxa"/>
            <w:shd w:val="clear" w:color="000000" w:fill="B3C6E7"/>
            <w:noWrap/>
            <w:vAlign w:val="bottom"/>
            <w:hideMark/>
          </w:tcPr>
          <w:p w:rsidR="00FB5C03" w:rsidRPr="00D73321" w:rsidRDefault="00FB5C03" w:rsidP="001C724E">
            <w:pPr>
              <w:spacing w:line="240" w:lineRule="auto"/>
              <w:rPr>
                <w:rFonts w:eastAsia="Times New Roman" w:cs="Times New Roman"/>
              </w:rPr>
            </w:pPr>
            <w:r w:rsidRPr="00D73321">
              <w:rPr>
                <w:rFonts w:eastAsia="Times New Roman" w:cs="Times New Roman"/>
                <w:sz w:val="22"/>
              </w:rPr>
              <w:t>Port Jefferson Energy Center</w:t>
            </w:r>
          </w:p>
        </w:tc>
        <w:tc>
          <w:tcPr>
            <w:tcW w:w="2327" w:type="dxa"/>
            <w:shd w:val="clear" w:color="000000" w:fill="B3C6E7"/>
            <w:vAlign w:val="bottom"/>
          </w:tcPr>
          <w:p w:rsidR="00FB5C03" w:rsidRPr="00D73321" w:rsidRDefault="00FB5C03" w:rsidP="001C724E">
            <w:pPr>
              <w:jc w:val="right"/>
              <w:rPr>
                <w:rFonts w:cs="Times New Roman"/>
                <w:b/>
                <w:bCs/>
              </w:rPr>
            </w:pPr>
            <w:r w:rsidRPr="00D73321">
              <w:rPr>
                <w:rFonts w:cs="Times New Roman"/>
                <w:b/>
                <w:bCs/>
                <w:sz w:val="22"/>
              </w:rPr>
              <w:t>0.1094</w:t>
            </w:r>
          </w:p>
        </w:tc>
      </w:tr>
    </w:tbl>
    <w:p w:rsidR="00FB5C03" w:rsidRDefault="00FB5C03" w:rsidP="00FB5C03"/>
    <w:p w:rsidR="00FB5C03" w:rsidRPr="00024395" w:rsidRDefault="00FB5C03" w:rsidP="00FB5C03">
      <w:pPr>
        <w:pStyle w:val="ListParagraph"/>
        <w:numPr>
          <w:ilvl w:val="0"/>
          <w:numId w:val="4"/>
        </w:numPr>
      </w:pPr>
      <w:r>
        <w:t>Growth Rate File:</w:t>
      </w:r>
    </w:p>
    <w:p w:rsidR="00FB5C03" w:rsidRDefault="00FB5C03" w:rsidP="00FB5C03">
      <w:pPr>
        <w:pStyle w:val="ListParagraph"/>
        <w:numPr>
          <w:ilvl w:val="1"/>
          <w:numId w:val="4"/>
        </w:numPr>
      </w:pPr>
      <w:r>
        <w:t xml:space="preserve">For the 2.3 Reference case, I used the growth rates found in spreadsheet </w:t>
      </w:r>
      <w:r>
        <w:rPr>
          <w:b/>
        </w:rPr>
        <w:t xml:space="preserve">Gas_Adj_AEO2014_NERC2013 Growth Rates v4 method 1 and method2.xlsx, </w:t>
      </w:r>
      <w:r>
        <w:t xml:space="preserve">tab </w:t>
      </w:r>
      <w:r>
        <w:rPr>
          <w:b/>
        </w:rPr>
        <w:t>Gas-</w:t>
      </w:r>
      <w:proofErr w:type="spellStart"/>
      <w:r>
        <w:rPr>
          <w:b/>
        </w:rPr>
        <w:t>Adj</w:t>
      </w:r>
      <w:proofErr w:type="spellEnd"/>
      <w:r>
        <w:rPr>
          <w:b/>
        </w:rPr>
        <w:t xml:space="preserve"> Ref 2014 M1  </w:t>
      </w:r>
      <w:r>
        <w:t>with the following exceptions:</w:t>
      </w:r>
    </w:p>
    <w:p w:rsidR="00FB5C03" w:rsidRDefault="00FB5C03" w:rsidP="00FB5C03">
      <w:pPr>
        <w:pStyle w:val="ListParagraph"/>
        <w:numPr>
          <w:ilvl w:val="1"/>
          <w:numId w:val="5"/>
        </w:numPr>
        <w:ind w:left="2160"/>
      </w:pPr>
      <w:r>
        <w:t xml:space="preserve">NYLI and NYCW growth rates were based on the same spreadsheet but used the tab called </w:t>
      </w:r>
      <w:r>
        <w:rPr>
          <w:b/>
        </w:rPr>
        <w:t>New GR.</w:t>
      </w:r>
      <w:r>
        <w:t xml:space="preserve">  </w:t>
      </w:r>
    </w:p>
    <w:p w:rsidR="00FB5C03" w:rsidRDefault="00FB5C03" w:rsidP="00FB5C03">
      <w:pPr>
        <w:pStyle w:val="ListParagraph"/>
        <w:numPr>
          <w:ilvl w:val="1"/>
          <w:numId w:val="5"/>
        </w:numPr>
        <w:ind w:left="2160"/>
      </w:pPr>
      <w:r>
        <w:t xml:space="preserve">MROZ and RFWZ annual growth rates were based on the 2018 growth rates in the spreadsheet called </w:t>
      </w:r>
      <w:r>
        <w:rPr>
          <w:b/>
        </w:rPr>
        <w:t>FullTranslationWI_Regions_AdjustmentAEO2014.xlsx</w:t>
      </w:r>
      <w:r>
        <w:t xml:space="preserve">, tab </w:t>
      </w:r>
      <w:r>
        <w:rPr>
          <w:b/>
        </w:rPr>
        <w:t>Core Index for MROZ &amp;</w:t>
      </w:r>
      <w:r w:rsidRPr="00DA790B">
        <w:t>.</w:t>
      </w:r>
    </w:p>
    <w:p w:rsidR="00FB5C03" w:rsidRDefault="00FB5C03" w:rsidP="00FB5C03">
      <w:pPr>
        <w:pStyle w:val="ListParagraph"/>
        <w:numPr>
          <w:ilvl w:val="1"/>
          <w:numId w:val="5"/>
        </w:numPr>
        <w:ind w:left="2160"/>
      </w:pPr>
      <w:r>
        <w:t>RFCM, MROZ, and MROW peak growth rates for combined cycle were set to 1.3 based on LADCO, Wisconsin, and Michigan input.</w:t>
      </w:r>
    </w:p>
    <w:p w:rsidR="00FB5C03" w:rsidRDefault="00FB5C03" w:rsidP="00FB5C03">
      <w:pPr>
        <w:pStyle w:val="ListParagraph"/>
        <w:numPr>
          <w:ilvl w:val="1"/>
          <w:numId w:val="5"/>
        </w:numPr>
        <w:ind w:left="2160"/>
      </w:pPr>
      <w:r>
        <w:t xml:space="preserve">SRGW peak growth rate for oil was set to 2.0 to ameliorate an extremely high peak rate, per LADCO.  </w:t>
      </w:r>
    </w:p>
    <w:p w:rsidR="00FB5C03" w:rsidRDefault="00FB5C03" w:rsidP="00FB5C03">
      <w:pPr>
        <w:pStyle w:val="ListParagraph"/>
        <w:numPr>
          <w:ilvl w:val="1"/>
          <w:numId w:val="4"/>
        </w:numPr>
      </w:pPr>
      <w:r>
        <w:t xml:space="preserve">RFCM, MROZ, and MROW combined cycle transition </w:t>
      </w:r>
      <w:proofErr w:type="gramStart"/>
      <w:r>
        <w:t>hours</w:t>
      </w:r>
      <w:proofErr w:type="gramEnd"/>
      <w:r>
        <w:t xml:space="preserve"> peak-&gt;formula set to 200; formula-&gt; nonpeak set to 2000 based on LADCO, WI, and MI input.  All other transition hours remain at default levels.</w:t>
      </w:r>
    </w:p>
    <w:p w:rsidR="00FB5C03" w:rsidRDefault="00FB5C03" w:rsidP="00FB5C03">
      <w:pPr>
        <w:pStyle w:val="ListParagraph"/>
        <w:numPr>
          <w:ilvl w:val="1"/>
          <w:numId w:val="4"/>
        </w:numPr>
      </w:pPr>
      <w:r>
        <w:t>For the 2028 estimates, to reduce the number of GDUs created solely for peak hour demand deficits, the following additional changes were made to the growth file:</w:t>
      </w:r>
    </w:p>
    <w:p w:rsidR="00FB5C03" w:rsidRDefault="00FB5C03" w:rsidP="00FB5C03">
      <w:pPr>
        <w:pStyle w:val="ListParagraph"/>
        <w:numPr>
          <w:ilvl w:val="1"/>
          <w:numId w:val="5"/>
        </w:numPr>
        <w:ind w:left="2160"/>
      </w:pPr>
      <w:r>
        <w:t>The following regions/fuel-unit types had their peak rates set to 1.3 and their transition hours set to 200 and 2000:  CAMX, combined cycle; NWPP, combined cycle; RFWZ, combined cycle; SRCE, combined cycle; SRGW, combined cycle</w:t>
      </w:r>
    </w:p>
    <w:p w:rsidR="00FB5C03" w:rsidRDefault="00FB5C03" w:rsidP="00FB5C03">
      <w:pPr>
        <w:pStyle w:val="ListParagraph"/>
        <w:numPr>
          <w:ilvl w:val="1"/>
          <w:numId w:val="5"/>
        </w:numPr>
        <w:ind w:left="2160"/>
      </w:pPr>
      <w:r>
        <w:t xml:space="preserve">NYUP Coal had the peak rate set at 1.3.  </w:t>
      </w:r>
    </w:p>
    <w:p w:rsidR="00FB5C03" w:rsidRPr="001659DE" w:rsidRDefault="00FB5C03" w:rsidP="00FB5C03">
      <w:pPr>
        <w:pStyle w:val="ListParagraph"/>
        <w:numPr>
          <w:ilvl w:val="0"/>
          <w:numId w:val="4"/>
        </w:numPr>
      </w:pPr>
      <w:r>
        <w:t>Input Variables:</w:t>
      </w:r>
    </w:p>
    <w:p w:rsidR="00FB5C03" w:rsidRDefault="00FB5C03" w:rsidP="00FB5C03">
      <w:pPr>
        <w:pStyle w:val="ListParagraph"/>
        <w:numPr>
          <w:ilvl w:val="1"/>
          <w:numId w:val="4"/>
        </w:numPr>
      </w:pPr>
      <w:r>
        <w:t>Removed the specified facilities for new units from SRVC.</w:t>
      </w:r>
    </w:p>
    <w:p w:rsidR="00FB5C03" w:rsidRDefault="00FB5C03" w:rsidP="00FB5C03">
      <w:pPr>
        <w:pStyle w:val="ListParagraph"/>
        <w:numPr>
          <w:ilvl w:val="1"/>
          <w:numId w:val="4"/>
        </w:numPr>
      </w:pPr>
      <w:r>
        <w:t>Changed CAMX, SRVC, SRSE, FRCC, and NEWE to 75</w:t>
      </w:r>
      <w:r w:rsidRPr="00180770">
        <w:rPr>
          <w:vertAlign w:val="superscript"/>
        </w:rPr>
        <w:t>th</w:t>
      </w:r>
      <w:r>
        <w:t xml:space="preserve"> percentile for new CCs and SCs (NEWE CC was already at 75</w:t>
      </w:r>
      <w:r w:rsidRPr="00180770">
        <w:rPr>
          <w:vertAlign w:val="superscript"/>
        </w:rPr>
        <w:t>th</w:t>
      </w:r>
      <w:r>
        <w:t xml:space="preserve"> for 2.2).</w:t>
      </w:r>
    </w:p>
    <w:p w:rsidR="00FB5C03" w:rsidRDefault="00FB5C03" w:rsidP="00FB5C03">
      <w:pPr>
        <w:pStyle w:val="ListParagraph"/>
        <w:numPr>
          <w:ilvl w:val="1"/>
          <w:numId w:val="4"/>
        </w:numPr>
      </w:pPr>
      <w:r>
        <w:t>Added MROZ and RFWZ, and deleted MROE and RFCW.</w:t>
      </w:r>
    </w:p>
    <w:p w:rsidR="00FB5C03" w:rsidRDefault="00FB5C03" w:rsidP="00FB5C03">
      <w:pPr>
        <w:pStyle w:val="ListParagraph"/>
        <w:numPr>
          <w:ilvl w:val="1"/>
          <w:numId w:val="4"/>
        </w:numPr>
      </w:pPr>
      <w:r>
        <w:t xml:space="preserve">Changed capacity Demand Deficit Review from 400 to 3000 for all regions and fuel/unit types.  </w:t>
      </w:r>
    </w:p>
    <w:p w:rsidR="00FB5C03" w:rsidRDefault="00FB5C03" w:rsidP="00FB5C03">
      <w:pPr>
        <w:pStyle w:val="ListParagraph"/>
        <w:numPr>
          <w:ilvl w:val="0"/>
          <w:numId w:val="4"/>
        </w:numPr>
      </w:pPr>
      <w:r>
        <w:lastRenderedPageBreak/>
        <w:t>NonCAMD Hourly File:</w:t>
      </w:r>
    </w:p>
    <w:p w:rsidR="00FB5C03" w:rsidRDefault="00FB5C03" w:rsidP="00FB5C03">
      <w:pPr>
        <w:pStyle w:val="ListParagraph"/>
        <w:numPr>
          <w:ilvl w:val="1"/>
          <w:numId w:val="4"/>
        </w:numPr>
      </w:pPr>
      <w:r>
        <w:t>Replaced all negative emissions values and load values with zero.</w:t>
      </w:r>
    </w:p>
    <w:p w:rsidR="00FB5C03" w:rsidRDefault="00FB5C03" w:rsidP="00FB5C03">
      <w:pPr>
        <w:pStyle w:val="ListParagraph"/>
        <w:numPr>
          <w:ilvl w:val="1"/>
          <w:numId w:val="4"/>
        </w:numPr>
      </w:pPr>
      <w:r>
        <w:t>Added a full year of data for the ORIS 8906 (Astoria) Unit IDs 30, 40, and 50—summed the reheat and superheat reported data to create the pseudo units.</w:t>
      </w:r>
    </w:p>
    <w:p w:rsidR="00FB5C03" w:rsidRDefault="00FB5C03" w:rsidP="00FB5C03">
      <w:pPr>
        <w:pStyle w:val="ListParagraph"/>
        <w:numPr>
          <w:ilvl w:val="1"/>
          <w:numId w:val="4"/>
        </w:numPr>
      </w:pPr>
      <w:r>
        <w:t xml:space="preserve">Added a full year of data for 7839 (Ladysmith) Unit 5, which is equivalent to that reported in 2011 for 7838 (Remington) Unit 5.  7838, 5 does not exist and this was a 2011 CAMD reporting error.  </w:t>
      </w:r>
    </w:p>
    <w:p w:rsidR="00FB5C03" w:rsidRDefault="00FB5C03" w:rsidP="00FB5C03">
      <w:pPr>
        <w:pStyle w:val="ListParagraph"/>
        <w:numPr>
          <w:ilvl w:val="0"/>
          <w:numId w:val="4"/>
        </w:numPr>
      </w:pPr>
      <w:r>
        <w:t>Group and State Files are unchanged from 2.2 (Group contains both CAIR and CSAPR levels)</w:t>
      </w:r>
    </w:p>
    <w:p w:rsidR="00FB5C03" w:rsidRDefault="00FB5C03" w:rsidP="00FB5C03">
      <w:pPr>
        <w:pStyle w:val="ListParagraph"/>
        <w:ind w:left="0"/>
        <w:rPr>
          <w:b/>
          <w:sz w:val="28"/>
          <w:szCs w:val="28"/>
        </w:rPr>
      </w:pPr>
    </w:p>
    <w:p w:rsidR="00FB5C03" w:rsidRDefault="00FB5C03" w:rsidP="00FB5C03">
      <w:pPr>
        <w:rPr>
          <w:b/>
        </w:rPr>
      </w:pPr>
      <w:r>
        <w:rPr>
          <w:b/>
          <w:noProof/>
        </w:rPr>
        <mc:AlternateContent>
          <mc:Choice Requires="wps">
            <w:drawing>
              <wp:anchor distT="0" distB="0" distL="114300" distR="114300" simplePos="0" relativeHeight="251670528" behindDoc="0" locked="0" layoutInCell="1" allowOverlap="1" wp14:anchorId="3FCA6571" wp14:editId="52A26D73">
                <wp:simplePos x="0" y="0"/>
                <wp:positionH relativeFrom="column">
                  <wp:posOffset>47624</wp:posOffset>
                </wp:positionH>
                <wp:positionV relativeFrom="paragraph">
                  <wp:posOffset>65405</wp:posOffset>
                </wp:positionV>
                <wp:extent cx="6010275" cy="0"/>
                <wp:effectExtent l="0" t="19050" r="9525" b="19050"/>
                <wp:wrapNone/>
                <wp:docPr id="8" name="Straight Connector 8"/>
                <wp:cNvGraphicFramePr/>
                <a:graphic xmlns:a="http://schemas.openxmlformats.org/drawingml/2006/main">
                  <a:graphicData uri="http://schemas.microsoft.com/office/word/2010/wordprocessingShape">
                    <wps:wsp>
                      <wps:cNvCnPr/>
                      <wps:spPr>
                        <a:xfrm>
                          <a:off x="0" y="0"/>
                          <a:ext cx="60102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75pt,5.15pt" to="47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A7JwQEAANQDAAAOAAAAZHJzL2Uyb0RvYy54bWysU01v2zAMvQ/ofxB0X2xnWBcYcXpIsV6G&#10;LVjXH6DKVCxAX6C02Pn3o5TELdYCw4peZFF8j+Qj6fXNZA07AEbtXcebRc0ZOOl77fYdf/j19eOK&#10;s5iE64XxDjp+hMhvNlcf1mNoYekHb3pARkFcbMfQ8SGl0FZVlANYERc+gCOn8mhFIhP3VY9ipOjW&#10;VMu6vq5Gj31ALyFGer09OfmmxFcKZPqhVITETMeptlROLOdjPqvNWrR7FGHQ8lyGeEMVVmhHSedQ&#10;tyIJ9hv1i1BWS/TRq7SQ3lZeKS2haCA1Tf2XmvtBBChaqDkxzG2K7xdWfj/skOm+4zQoJyyN6D6h&#10;0Pshsa13jhroka1yn8YQW4Jv3Q7PVgw7zKInhTZ/SQ6bSm+Pc29hSkzS4zXJW375zJm8+KonYsCY&#10;7sBbli8dN9pl2aIVh28xUTKCXiD52Tg2dvzTqqnLAKtc2amWcktHAyfYT1CkjbI3JVzZKtgaZAdB&#10;+yCkBJearI0SGEfoTFPamJlY/5t4xmcqlI37H/LMKJm9SzPZaufxtexpupSsTngq/5nufH30/bFM&#10;qThodYrC85rn3XxuF/rTz7j5AwAA//8DAFBLAwQUAAYACAAAACEA38oDCtsAAAAHAQAADwAAAGRy&#10;cy9kb3ducmV2LnhtbEyPzU7DMBCE70i8g7VI3KjDTymEOBWqQHDohRb1vI2XJBCvI9tJA0/PIg5w&#10;3JnR7DfFcnKdGinE1rOB81kGirjytuXawOv28ewGVEzIFjvPZOCTIizL46MCc+sP/ELjJtVKSjjm&#10;aKBJqc+1jlVDDuPM98TivfngMMkZam0DHqTcdfoiy661w5blQ4M9rRqqPjaDM1C7J/ee/HPY4sNu&#10;WIxfq2q3bo05PZnu70AlmtJfGH7wBR1KYdr7gW1UnYHFXIIiZ5egxL6dX8m0/a+gy0L/5y+/AQAA&#10;//8DAFBLAQItABQABgAIAAAAIQC2gziS/gAAAOEBAAATAAAAAAAAAAAAAAAAAAAAAABbQ29udGVu&#10;dF9UeXBlc10ueG1sUEsBAi0AFAAGAAgAAAAhADj9If/WAAAAlAEAAAsAAAAAAAAAAAAAAAAALwEA&#10;AF9yZWxzLy5yZWxzUEsBAi0AFAAGAAgAAAAhAGzUDsnBAQAA1AMAAA4AAAAAAAAAAAAAAAAALgIA&#10;AGRycy9lMm9Eb2MueG1sUEsBAi0AFAAGAAgAAAAhAN/KAwrbAAAABwEAAA8AAAAAAAAAAAAAAAAA&#10;GwQAAGRycy9kb3ducmV2LnhtbFBLBQYAAAAABAAEAPMAAAAjBQAAAAA=&#10;" strokecolor="#4579b8 [3044]" strokeweight="3pt"/>
            </w:pict>
          </mc:Fallback>
        </mc:AlternateContent>
      </w:r>
    </w:p>
    <w:p w:rsidR="00FB5C03" w:rsidRPr="00D46120" w:rsidRDefault="00FB5C03" w:rsidP="00FB5C03">
      <w:pPr>
        <w:pStyle w:val="ListParagraph"/>
        <w:ind w:left="0"/>
      </w:pPr>
      <w:r w:rsidRPr="00D46120">
        <w:rPr>
          <w:b/>
          <w:sz w:val="28"/>
          <w:szCs w:val="28"/>
        </w:rPr>
        <w:t>Changes and Updates from 2.2</w:t>
      </w:r>
      <w:r>
        <w:rPr>
          <w:b/>
          <w:sz w:val="28"/>
          <w:szCs w:val="28"/>
        </w:rPr>
        <w:t xml:space="preserve"> to 2.2_GR14, 2.2_M114, and 2.2M214</w:t>
      </w:r>
      <w:r w:rsidRPr="00D46120">
        <w:rPr>
          <w:b/>
          <w:sz w:val="28"/>
          <w:szCs w:val="28"/>
        </w:rPr>
        <w:t>:</w:t>
      </w:r>
    </w:p>
    <w:p w:rsidR="00FB5C03" w:rsidRPr="007C67D0" w:rsidRDefault="00FB5C03" w:rsidP="00FB5C03">
      <w:pPr>
        <w:pStyle w:val="ListParagraph"/>
        <w:numPr>
          <w:ilvl w:val="0"/>
          <w:numId w:val="4"/>
        </w:numPr>
      </w:pPr>
      <w:r>
        <w:t xml:space="preserve">Growth rates for 2018 came from </w:t>
      </w:r>
      <w:r>
        <w:rPr>
          <w:b/>
        </w:rPr>
        <w:t>Gas_Adj_AEO2014_NERC2013 Growth Rates v4 method1 and method2.xlsx</w:t>
      </w:r>
    </w:p>
    <w:p w:rsidR="00FB5C03" w:rsidRDefault="00FB5C03" w:rsidP="00FB5C03">
      <w:pPr>
        <w:pStyle w:val="ListParagraph"/>
        <w:numPr>
          <w:ilvl w:val="1"/>
          <w:numId w:val="4"/>
        </w:numPr>
      </w:pPr>
      <w:r>
        <w:t>For the run called 2.2_GR14, I used the tab in this spreadsheet called “New GR” to develop the growth rate input file</w:t>
      </w:r>
    </w:p>
    <w:p w:rsidR="00FB5C03" w:rsidRDefault="00FB5C03" w:rsidP="00FB5C03">
      <w:pPr>
        <w:pStyle w:val="ListParagraph"/>
        <w:numPr>
          <w:ilvl w:val="1"/>
          <w:numId w:val="4"/>
        </w:numPr>
      </w:pPr>
      <w:r>
        <w:t>For the run called 2.2_M114, I used the tab in this spreadsheet called “Gas-</w:t>
      </w:r>
      <w:proofErr w:type="spellStart"/>
      <w:r>
        <w:t>Adj</w:t>
      </w:r>
      <w:proofErr w:type="spellEnd"/>
      <w:r>
        <w:t xml:space="preserve"> Ref 2014 M1”</w:t>
      </w:r>
    </w:p>
    <w:p w:rsidR="00FB5C03" w:rsidRDefault="00FB5C03" w:rsidP="00FB5C03">
      <w:pPr>
        <w:pStyle w:val="ListParagraph"/>
        <w:numPr>
          <w:ilvl w:val="1"/>
          <w:numId w:val="4"/>
        </w:numPr>
      </w:pPr>
      <w:r>
        <w:t>For the run called 2.2_M214, I used the tab in this spreadsheet called “Gas-</w:t>
      </w:r>
      <w:proofErr w:type="spellStart"/>
      <w:r>
        <w:t>Adj</w:t>
      </w:r>
      <w:proofErr w:type="spellEnd"/>
      <w:r>
        <w:t xml:space="preserve"> Ref 2014 M2”</w:t>
      </w:r>
    </w:p>
    <w:p w:rsidR="00FB5C03" w:rsidRDefault="00FB5C03" w:rsidP="00FB5C03">
      <w:pPr>
        <w:pStyle w:val="ListParagraph"/>
        <w:numPr>
          <w:ilvl w:val="0"/>
          <w:numId w:val="4"/>
        </w:numPr>
      </w:pPr>
      <w:r>
        <w:t>All other input files are the same as 2.2.</w:t>
      </w:r>
    </w:p>
    <w:p w:rsidR="00FB5C03" w:rsidRPr="00FB5C03" w:rsidRDefault="00FB5C03" w:rsidP="00FB5C03">
      <w:pPr>
        <w:pStyle w:val="ListParagraph"/>
        <w:rPr>
          <w:b/>
        </w:rPr>
      </w:pPr>
      <w:r>
        <w:rPr>
          <w:noProof/>
        </w:rPr>
        <mc:AlternateContent>
          <mc:Choice Requires="wps">
            <w:drawing>
              <wp:anchor distT="0" distB="0" distL="114300" distR="114300" simplePos="0" relativeHeight="251672576" behindDoc="0" locked="0" layoutInCell="1" allowOverlap="1" wp14:anchorId="42C0E544" wp14:editId="7D2844C1">
                <wp:simplePos x="0" y="0"/>
                <wp:positionH relativeFrom="column">
                  <wp:posOffset>47624</wp:posOffset>
                </wp:positionH>
                <wp:positionV relativeFrom="paragraph">
                  <wp:posOffset>65405</wp:posOffset>
                </wp:positionV>
                <wp:extent cx="6010275" cy="0"/>
                <wp:effectExtent l="0" t="19050" r="9525" b="19050"/>
                <wp:wrapNone/>
                <wp:docPr id="9" name="Straight Connector 9"/>
                <wp:cNvGraphicFramePr/>
                <a:graphic xmlns:a="http://schemas.openxmlformats.org/drawingml/2006/main">
                  <a:graphicData uri="http://schemas.microsoft.com/office/word/2010/wordprocessingShape">
                    <wps:wsp>
                      <wps:cNvCnPr/>
                      <wps:spPr>
                        <a:xfrm>
                          <a:off x="0" y="0"/>
                          <a:ext cx="60102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75pt,5.15pt" to="47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yKwgEAANQDAAAOAAAAZHJzL2Uyb0RvYy54bWysU8tu2zAQvBfoPxC815JcNE0Eyzk4SC9F&#10;azTJBzDU0iLAF5aMJf99l7StBE2BokEuFMmdmd1ZrlbXkzVsDxi1dx1vFjVn4KTvtdt1/OH+9tMl&#10;ZzEJ1wvjHXT8AJFfrz9+WI2hhaUfvOkBGYm42I6h40NKoa2qKAewIi58AEdB5dGKREfcVT2KkdSt&#10;qZZ1fVGNHvuAXkKMdHtzDPJ10VcKZPqpVITETMeptlRWLOtjXqv1SrQ7FGHQ8lSGeEMVVmhHSWep&#10;G5EEe0L9SspqiT56lRbS28orpSUUD+Smqf9wczeIAMULNSeGuU3x/WTlj/0Wme47fsWZE5ae6C6h&#10;0LshsY13jhrokV3lPo0htgTfuC2eTjFsMZueFNr8JTtsKr09zL2FKTFJlxdkb/n1C2fyHKueiQFj&#10;+gbesrzpuNEu2xat2H+PiZIR9AzJ18axseOfL5u6PGCVKzvWUnbpYOAI+wWKvFH2psiVqYKNQbYX&#10;NA9CSnCpyd4ogXGEzjSljZmJ9b+JJ3ymQpm4/yHPjJLZuzSTrXYe/5Y9TeeS1RFP5b/wnbePvj+U&#10;VyoBGp3i8DTmeTZfngv9+Wdc/wYAAP//AwBQSwMEFAAGAAgAAAAhAN/KAwrbAAAABwEAAA8AAABk&#10;cnMvZG93bnJldi54bWxMj81OwzAQhO9IvIO1SNyow08phDgVqkBw6IUW9byNlyQQryPbSQNPzyIO&#10;cNyZ0ew3xXJynRopxNazgfNZBoq48rbl2sDr9vHsBlRMyBY7z2TgkyIsy+OjAnPrD/xC4ybVSko4&#10;5migSanPtY5VQw7jzPfE4r354DDJGWptAx6k3HX6IsuutcOW5UODPa0aqj42gzNQuyf3nvxz2OLD&#10;bliMX6tqt26NOT2Z7u9AJZrSXxh+8AUdSmHa+4FtVJ2BxVyCImeXoMS+nV/JtP2voMtC/+cvvwEA&#10;AP//AwBQSwECLQAUAAYACAAAACEAtoM4kv4AAADhAQAAEwAAAAAAAAAAAAAAAAAAAAAAW0NvbnRl&#10;bnRfVHlwZXNdLnhtbFBLAQItABQABgAIAAAAIQA4/SH/1gAAAJQBAAALAAAAAAAAAAAAAAAAAC8B&#10;AABfcmVscy8ucmVsc1BLAQItABQABgAIAAAAIQCNxlyKwgEAANQDAAAOAAAAAAAAAAAAAAAAAC4C&#10;AABkcnMvZTJvRG9jLnhtbFBLAQItABQABgAIAAAAIQDfygMK2wAAAAcBAAAPAAAAAAAAAAAAAAAA&#10;ABwEAABkcnMvZG93bnJldi54bWxQSwUGAAAAAAQABADzAAAAJAUAAAAA&#10;" strokecolor="#4579b8 [3044]" strokeweight="3pt"/>
            </w:pict>
          </mc:Fallback>
        </mc:AlternateContent>
      </w:r>
    </w:p>
    <w:p w:rsidR="00FB5C03" w:rsidRPr="00194920" w:rsidRDefault="00FB5C03" w:rsidP="00FB5C03">
      <w:pPr>
        <w:rPr>
          <w:b/>
          <w:sz w:val="28"/>
          <w:szCs w:val="28"/>
        </w:rPr>
      </w:pPr>
      <w:r w:rsidRPr="00194920">
        <w:rPr>
          <w:b/>
          <w:sz w:val="28"/>
          <w:szCs w:val="28"/>
        </w:rPr>
        <w:t>Ch</w:t>
      </w:r>
      <w:r>
        <w:rPr>
          <w:b/>
          <w:sz w:val="28"/>
          <w:szCs w:val="28"/>
        </w:rPr>
        <w:t>anges and Updates from 2.1L1</w:t>
      </w:r>
      <w:r w:rsidRPr="00194920">
        <w:rPr>
          <w:b/>
          <w:sz w:val="28"/>
          <w:szCs w:val="28"/>
        </w:rPr>
        <w:t xml:space="preserve"> to 2.</w:t>
      </w:r>
      <w:r>
        <w:rPr>
          <w:b/>
          <w:sz w:val="28"/>
          <w:szCs w:val="28"/>
        </w:rPr>
        <w:t>2</w:t>
      </w:r>
      <w:r w:rsidRPr="00194920">
        <w:rPr>
          <w:b/>
          <w:sz w:val="28"/>
          <w:szCs w:val="28"/>
        </w:rPr>
        <w:t>:</w:t>
      </w:r>
    </w:p>
    <w:p w:rsidR="00FB5C03" w:rsidRDefault="00FB5C03" w:rsidP="00FB5C03">
      <w:pPr>
        <w:pStyle w:val="ListParagraph"/>
        <w:numPr>
          <w:ilvl w:val="0"/>
          <w:numId w:val="4"/>
        </w:numPr>
      </w:pPr>
      <w:r>
        <w:t>UAF used in 2.2 was from file2011BASUnit_Availability_V2.2_April222014_code1_01.xls</w:t>
      </w:r>
    </w:p>
    <w:p w:rsidR="00FB5C03" w:rsidRDefault="00FB5C03" w:rsidP="00FB5C03">
      <w:pPr>
        <w:pStyle w:val="ListParagraph"/>
        <w:numPr>
          <w:ilvl w:val="1"/>
          <w:numId w:val="4"/>
        </w:numPr>
      </w:pPr>
      <w:r>
        <w:t>A couple of additional edits were made:</w:t>
      </w:r>
    </w:p>
    <w:p w:rsidR="00FB5C03" w:rsidRDefault="00FB5C03" w:rsidP="00FB5C03">
      <w:pPr>
        <w:pStyle w:val="ListParagraph"/>
        <w:numPr>
          <w:ilvl w:val="1"/>
          <w:numId w:val="4"/>
        </w:numPr>
      </w:pPr>
      <w:proofErr w:type="spellStart"/>
      <w:r>
        <w:t>Laskin</w:t>
      </w:r>
      <w:proofErr w:type="spellEnd"/>
      <w:r>
        <w:t xml:space="preserve"> (1891) in MN:  switched to gas as of 12/31/2017.  A line item was added to the UAF to include the gas boiler.  </w:t>
      </w:r>
    </w:p>
    <w:p w:rsidR="00FB5C03" w:rsidRDefault="00FB5C03" w:rsidP="00FB5C03">
      <w:pPr>
        <w:pStyle w:val="ListParagraph"/>
        <w:numPr>
          <w:ilvl w:val="1"/>
          <w:numId w:val="4"/>
        </w:numPr>
      </w:pPr>
      <w:r>
        <w:t xml:space="preserve">Wheaton (4014) in WI had a county code switched to 55035 from 50089.  </w:t>
      </w:r>
    </w:p>
    <w:p w:rsidR="00FB5C03" w:rsidRDefault="00FB5C03" w:rsidP="00FB5C03">
      <w:pPr>
        <w:pStyle w:val="ListParagraph"/>
        <w:numPr>
          <w:ilvl w:val="1"/>
          <w:numId w:val="4"/>
        </w:numPr>
      </w:pPr>
      <w:r>
        <w:t>ORIS 50240 (Purdue University-Wade Utility) was changed to a nonEGU.</w:t>
      </w:r>
    </w:p>
    <w:p w:rsidR="00FB5C03" w:rsidRDefault="00FB5C03" w:rsidP="00FB5C03">
      <w:pPr>
        <w:pStyle w:val="ListParagraph"/>
        <w:numPr>
          <w:ilvl w:val="1"/>
          <w:numId w:val="4"/>
        </w:numPr>
      </w:pPr>
      <w:r>
        <w:t xml:space="preserve">Removed the new unit flag Y from ORIS 564, </w:t>
      </w:r>
      <w:proofErr w:type="spellStart"/>
      <w:r>
        <w:t>CCB</w:t>
      </w:r>
      <w:proofErr w:type="spellEnd"/>
      <w:r>
        <w:t>, as the unit started ops in 2009.</w:t>
      </w:r>
    </w:p>
    <w:p w:rsidR="00FB5C03" w:rsidRDefault="00FB5C03" w:rsidP="00FB5C03">
      <w:pPr>
        <w:pStyle w:val="ListParagraph"/>
        <w:numPr>
          <w:ilvl w:val="1"/>
          <w:numId w:val="4"/>
        </w:numPr>
      </w:pPr>
      <w:r>
        <w:t xml:space="preserve">Added max_unit_heat_input for 56807, Units 1A &amp; 1B </w:t>
      </w:r>
      <w:proofErr w:type="gramStart"/>
      <w:r>
        <w:t>of 2,580 mmbtu/</w:t>
      </w:r>
      <w:proofErr w:type="spellStart"/>
      <w:r>
        <w:t>hr</w:t>
      </w:r>
      <w:proofErr w:type="spellEnd"/>
      <w:r>
        <w:t xml:space="preserve"> (each)</w:t>
      </w:r>
      <w:proofErr w:type="gramEnd"/>
      <w:r>
        <w:t>.  (Honestly, those Virginia data people are complete idiots.  Thank goodness the Virginia modelers are intelligent</w:t>
      </w:r>
      <w:proofErr w:type="gramStart"/>
      <w:r>
        <w:t xml:space="preserve">… </w:t>
      </w:r>
      <w:r>
        <w:sym w:font="Wingdings" w:char="F04A"/>
      </w:r>
      <w:proofErr w:type="gramEnd"/>
      <w:r>
        <w:t xml:space="preserve"> )</w:t>
      </w:r>
    </w:p>
    <w:p w:rsidR="00FB5C03" w:rsidRDefault="00FB5C03" w:rsidP="00FB5C03">
      <w:pPr>
        <w:pStyle w:val="ListParagraph"/>
        <w:numPr>
          <w:ilvl w:val="1"/>
          <w:numId w:val="4"/>
        </w:numPr>
      </w:pPr>
      <w:r>
        <w:t xml:space="preserve">ORIS 8042 </w:t>
      </w:r>
      <w:proofErr w:type="spellStart"/>
      <w:r>
        <w:t>Belew’s</w:t>
      </w:r>
      <w:proofErr w:type="spellEnd"/>
      <w:r>
        <w:t xml:space="preserve"> Creek was listed as retired in the UAF; </w:t>
      </w:r>
      <w:proofErr w:type="spellStart"/>
      <w:r>
        <w:t>NCs</w:t>
      </w:r>
      <w:proofErr w:type="spellEnd"/>
      <w:r>
        <w:t xml:space="preserve"> submittal showed it as having a 2030 retirement date, so I changed that retirement date to 2030.</w:t>
      </w:r>
    </w:p>
    <w:p w:rsidR="00FB5C03" w:rsidRDefault="00FB5C03" w:rsidP="00FB5C03">
      <w:pPr>
        <w:pStyle w:val="ListParagraph"/>
        <w:numPr>
          <w:ilvl w:val="1"/>
          <w:numId w:val="4"/>
        </w:numPr>
      </w:pPr>
      <w:r>
        <w:t>ORIS 2709 (H F Lee):  I changed one of the line items from “</w:t>
      </w:r>
      <w:proofErr w:type="spellStart"/>
      <w:r>
        <w:t>HF</w:t>
      </w:r>
      <w:proofErr w:type="spellEnd"/>
      <w:r>
        <w:t>” to “H F” to alleviate a warning.</w:t>
      </w:r>
    </w:p>
    <w:p w:rsidR="00FB5C03" w:rsidRDefault="00FB5C03" w:rsidP="00FB5C03">
      <w:pPr>
        <w:pStyle w:val="ListParagraph"/>
        <w:numPr>
          <w:ilvl w:val="1"/>
          <w:numId w:val="4"/>
        </w:numPr>
      </w:pPr>
      <w:r>
        <w:lastRenderedPageBreak/>
        <w:t xml:space="preserve">ORIS 2720 (Buck), 11C and 12C:  The start date was in the mid/late 2011 period.  This would provide a BY ozone season profile of activity of mainly zero.  I changed the unit to “New”, added the </w:t>
      </w:r>
      <w:proofErr w:type="gramStart"/>
      <w:r>
        <w:t>New</w:t>
      </w:r>
      <w:proofErr w:type="gramEnd"/>
      <w:r>
        <w:t xml:space="preserve"> flag, and gave it a </w:t>
      </w:r>
      <w:proofErr w:type="spellStart"/>
      <w:r>
        <w:t>start up</w:t>
      </w:r>
      <w:proofErr w:type="spellEnd"/>
      <w:r>
        <w:t xml:space="preserve"> date of 01/01/2012 to allow the program to calculate an ozone season profile in the future year.  </w:t>
      </w:r>
    </w:p>
    <w:p w:rsidR="00FB5C03" w:rsidRDefault="00FB5C03" w:rsidP="00FB5C03">
      <w:pPr>
        <w:pStyle w:val="ListParagraph"/>
        <w:numPr>
          <w:ilvl w:val="1"/>
          <w:numId w:val="4"/>
        </w:numPr>
      </w:pPr>
      <w:r>
        <w:t>ORIS 4042, Units 1, 2, 3, and 4:  These were coal units that had line items switching them to natural gas.  All had a BY hours of operation of 10,000, which probably was the nominal heat capacity.  So, I switched that data over to the nominal heat capacity column.  For the coal units, I added in the BY hours of operation from CAMD:  8,080; 7,077; 4,446; and 5,620 respectively.</w:t>
      </w:r>
    </w:p>
    <w:p w:rsidR="00FB5C03" w:rsidRDefault="00FB5C03" w:rsidP="00FB5C03">
      <w:pPr>
        <w:pStyle w:val="ListParagraph"/>
        <w:numPr>
          <w:ilvl w:val="1"/>
          <w:numId w:val="4"/>
        </w:numPr>
      </w:pPr>
      <w:r>
        <w:t>ORIS 2048, Unit AA003:  This unit needed a state input UF to be used in the FY.  I added in 0.9.  I also changed the max_unit_heat_input to 632 mmbtu/</w:t>
      </w:r>
      <w:proofErr w:type="spellStart"/>
      <w:r>
        <w:t>hr</w:t>
      </w:r>
      <w:proofErr w:type="spellEnd"/>
      <w:r>
        <w:t xml:space="preserve"> based on the comment field data.</w:t>
      </w:r>
    </w:p>
    <w:p w:rsidR="00FB5C03" w:rsidRDefault="00FB5C03" w:rsidP="00FB5C03">
      <w:pPr>
        <w:pStyle w:val="ListParagraph"/>
        <w:numPr>
          <w:ilvl w:val="1"/>
          <w:numId w:val="4"/>
        </w:numPr>
      </w:pPr>
      <w:r>
        <w:t>I updated the listing of partial/full year reporters per Wendy’s email of 5/8/2014.</w:t>
      </w:r>
    </w:p>
    <w:p w:rsidR="00FB5C03" w:rsidRDefault="00FB5C03" w:rsidP="00FB5C03">
      <w:pPr>
        <w:pStyle w:val="ListParagraph"/>
        <w:numPr>
          <w:ilvl w:val="1"/>
          <w:numId w:val="4"/>
        </w:numPr>
      </w:pPr>
      <w:r>
        <w:t>ORIS 992, Units 12, 13, and 14 were coal fired non-EGUs, which had been fuel-switched to natural gas in a year after 2011.  This was done in an effort to use the UAF as a documentation tool, which has been discussed and agreed to by the ERTAC team in the past.  However, the code does not accept this type of setup.  For some reason, the fuel switch of a non-EGU in the FY can cause a crash of the preprocessor code.  I searched the UAF to see if any other instances of this situation occurred.  No other non-EGU fuel switches occurred.  With the consent of the state (IN), I removed the gas line items for these units from the UAF and noted in the comments field that they had been switched to natural gas.  I left the retirement date in the UAF for the coal units.  The code had no problems accepting that information.</w:t>
      </w:r>
    </w:p>
    <w:p w:rsidR="00FB5C03" w:rsidRDefault="00FB5C03" w:rsidP="00FB5C03">
      <w:pPr>
        <w:pStyle w:val="ListParagraph"/>
        <w:numPr>
          <w:ilvl w:val="0"/>
          <w:numId w:val="4"/>
        </w:numPr>
      </w:pPr>
      <w:r>
        <w:t>Controls file used in 2.2 was from 2011BASEControl File_v2.2_April222014_code1_01.xls.</w:t>
      </w:r>
    </w:p>
    <w:p w:rsidR="00FB5C03" w:rsidRDefault="00FB5C03" w:rsidP="00FB5C03">
      <w:pPr>
        <w:pStyle w:val="ListParagraph"/>
        <w:numPr>
          <w:ilvl w:val="0"/>
          <w:numId w:val="4"/>
        </w:numPr>
      </w:pPr>
      <w:r>
        <w:t>To make use of the functionality of the 1.01 code, a seasonal controls file was culled from the main controls file.  It looks like at this point only GA is taking advantage of this aspect of the tool.</w:t>
      </w:r>
    </w:p>
    <w:p w:rsidR="00FB5C03" w:rsidRDefault="00FB5C03" w:rsidP="00FB5C03">
      <w:pPr>
        <w:pStyle w:val="ListParagraph"/>
        <w:numPr>
          <w:ilvl w:val="0"/>
          <w:numId w:val="4"/>
        </w:numPr>
      </w:pPr>
      <w:r>
        <w:t xml:space="preserve">Growth rates for 2018 and 2020 came from </w:t>
      </w:r>
      <w:r w:rsidRPr="002408FE">
        <w:rPr>
          <w:b/>
          <w:i/>
        </w:rPr>
        <w:t xml:space="preserve">v2Working Doc2_v8a Growth Rates Regional </w:t>
      </w:r>
      <w:proofErr w:type="spellStart"/>
      <w:r w:rsidRPr="002408FE">
        <w:rPr>
          <w:b/>
          <w:i/>
        </w:rPr>
        <w:t>Template_ERTAC</w:t>
      </w:r>
      <w:proofErr w:type="spellEnd"/>
      <w:r w:rsidRPr="002408FE">
        <w:rPr>
          <w:b/>
          <w:i/>
        </w:rPr>
        <w:t xml:space="preserve"> Derived from Round 1 6 _Active for Base and Future Selected Yr. </w:t>
      </w:r>
      <w:proofErr w:type="spellStart"/>
      <w:r w:rsidRPr="002408FE">
        <w:rPr>
          <w:b/>
          <w:i/>
        </w:rPr>
        <w:t>xlsx</w:t>
      </w:r>
      <w:proofErr w:type="spellEnd"/>
      <w:r>
        <w:t xml:space="preserve">.  The tab used was </w:t>
      </w:r>
      <w:r w:rsidRPr="002408FE">
        <w:rPr>
          <w:b/>
          <w:i/>
        </w:rPr>
        <w:t>It 7 v2.1.2 ref w-Gas Adj</w:t>
      </w:r>
      <w:r>
        <w:t xml:space="preserve">.  These use AEO2013 information.  The growth rates were truncated to three decimal places, e.g. </w:t>
      </w:r>
      <w:proofErr w:type="spellStart"/>
      <w:r>
        <w:t>X.XXX</w:t>
      </w:r>
      <w:proofErr w:type="spellEnd"/>
      <w:r>
        <w:t>.</w:t>
      </w:r>
    </w:p>
    <w:p w:rsidR="00FB5C03" w:rsidRDefault="00FB5C03" w:rsidP="00FB5C03">
      <w:pPr>
        <w:pStyle w:val="ListParagraph"/>
        <w:numPr>
          <w:ilvl w:val="1"/>
          <w:numId w:val="4"/>
        </w:numPr>
      </w:pPr>
      <w:r>
        <w:t>For 2018 growth rates, three decimal places produced identical annual and peak growth rates for the following regions/fuel unit types.  Therefore, I adjusted the peak rates as noted here:</w:t>
      </w:r>
    </w:p>
    <w:p w:rsidR="00FB5C03" w:rsidRDefault="00FB5C03" w:rsidP="00FB5C03">
      <w:pPr>
        <w:pStyle w:val="ListParagraph"/>
        <w:numPr>
          <w:ilvl w:val="2"/>
          <w:numId w:val="4"/>
        </w:numPr>
      </w:pPr>
      <w:r>
        <w:t xml:space="preserve">NYUP/Oil-Peak and annual were 0.132.  Peak was adjusted to 0.133 </w:t>
      </w:r>
    </w:p>
    <w:p w:rsidR="00FB5C03" w:rsidRDefault="00FB5C03" w:rsidP="00FB5C03">
      <w:pPr>
        <w:pStyle w:val="ListParagraph"/>
        <w:numPr>
          <w:ilvl w:val="2"/>
          <w:numId w:val="4"/>
        </w:numPr>
      </w:pPr>
      <w:r>
        <w:t>SRDA/CC-Peak and annual were 1.338.  Peak adjusted to 1.350</w:t>
      </w:r>
    </w:p>
    <w:p w:rsidR="00FB5C03" w:rsidRDefault="00FB5C03" w:rsidP="00FB5C03">
      <w:pPr>
        <w:pStyle w:val="ListParagraph"/>
        <w:numPr>
          <w:ilvl w:val="2"/>
          <w:numId w:val="4"/>
        </w:numPr>
      </w:pPr>
      <w:r>
        <w:t>SRDA/SC-Peak and annual were 1.338.  Peak adjusted to 1.350</w:t>
      </w:r>
    </w:p>
    <w:p w:rsidR="00FB5C03" w:rsidRDefault="00FB5C03" w:rsidP="00FB5C03">
      <w:pPr>
        <w:pStyle w:val="ListParagraph"/>
        <w:numPr>
          <w:ilvl w:val="1"/>
          <w:numId w:val="4"/>
        </w:numPr>
      </w:pPr>
      <w:r>
        <w:lastRenderedPageBreak/>
        <w:t>For the 2020 growth rates, three decimal places produced identical annual and peak growth rates for the following regions/fuel unit types.  Therefore, I adjusted the peak rates as noted here:</w:t>
      </w:r>
    </w:p>
    <w:p w:rsidR="00FB5C03" w:rsidRDefault="00FB5C03" w:rsidP="00FB5C03">
      <w:pPr>
        <w:pStyle w:val="ListParagraph"/>
        <w:numPr>
          <w:ilvl w:val="2"/>
          <w:numId w:val="4"/>
        </w:numPr>
      </w:pPr>
      <w:r>
        <w:t>NYLI/Oil-Peak and annual were 0.039.  Peak adjusted to 0.040.</w:t>
      </w:r>
    </w:p>
    <w:p w:rsidR="00FB5C03" w:rsidRDefault="00FB5C03" w:rsidP="00FB5C03">
      <w:pPr>
        <w:pStyle w:val="ListParagraph"/>
        <w:numPr>
          <w:ilvl w:val="2"/>
          <w:numId w:val="4"/>
        </w:numPr>
      </w:pPr>
      <w:r>
        <w:t>NYUP/Oil-Peak and annual were 0.105.  Peak adjusted to 0.106.</w:t>
      </w:r>
    </w:p>
    <w:p w:rsidR="00FB5C03" w:rsidRDefault="00FB5C03" w:rsidP="00FB5C03">
      <w:pPr>
        <w:pStyle w:val="ListParagraph"/>
        <w:numPr>
          <w:ilvl w:val="2"/>
          <w:numId w:val="4"/>
        </w:numPr>
      </w:pPr>
      <w:r>
        <w:t>SRDA/Oil-Peak and annual were 0.099.  Peak adjusted to 0.100.</w:t>
      </w:r>
    </w:p>
    <w:p w:rsidR="00FB5C03" w:rsidRDefault="00FB5C03" w:rsidP="00FB5C03">
      <w:pPr>
        <w:pStyle w:val="ListParagraph"/>
        <w:numPr>
          <w:ilvl w:val="2"/>
          <w:numId w:val="4"/>
        </w:numPr>
      </w:pPr>
      <w:r>
        <w:t>SRDA/BG-Peak and annual were 1.000.  Peak adjusted to 1.001.</w:t>
      </w:r>
    </w:p>
    <w:p w:rsidR="00FB5C03" w:rsidRDefault="00FB5C03" w:rsidP="00FB5C03">
      <w:pPr>
        <w:pStyle w:val="ListParagraph"/>
        <w:numPr>
          <w:ilvl w:val="0"/>
          <w:numId w:val="4"/>
        </w:numPr>
      </w:pPr>
      <w:r>
        <w:t>In the Input Variables file, I removed the boiler gas ORIS codes for SRVC for any GDUs so that the program will place those automatically.</w:t>
      </w:r>
    </w:p>
    <w:p w:rsidR="00FB5C03" w:rsidRDefault="00FB5C03" w:rsidP="00FB5C03">
      <w:pPr>
        <w:pStyle w:val="ListParagraph"/>
        <w:numPr>
          <w:ilvl w:val="0"/>
          <w:numId w:val="4"/>
        </w:numPr>
      </w:pPr>
      <w:r>
        <w:t>For the state and group files, I added the CSAPR state and group totals from the file called CSAPR_State_Totals_8-1-2012.xlsx and CSAPR_Group_Totals_7-19-2012.xlsx.  The state and group cap files contain both the CAIR levels and the CSAPR assurance and budget levels.</w:t>
      </w:r>
    </w:p>
    <w:p w:rsidR="00FB5C03" w:rsidRPr="00FB5C03" w:rsidRDefault="00FB5C03" w:rsidP="00FB5C03">
      <w:pPr>
        <w:pStyle w:val="ListParagraph"/>
        <w:rPr>
          <w:b/>
        </w:rPr>
      </w:pPr>
      <w:r>
        <w:rPr>
          <w:noProof/>
        </w:rPr>
        <mc:AlternateContent>
          <mc:Choice Requires="wps">
            <w:drawing>
              <wp:anchor distT="0" distB="0" distL="114300" distR="114300" simplePos="0" relativeHeight="251674624" behindDoc="0" locked="0" layoutInCell="1" allowOverlap="1" wp14:anchorId="19F4ADF1" wp14:editId="5AC1C201">
                <wp:simplePos x="0" y="0"/>
                <wp:positionH relativeFrom="column">
                  <wp:posOffset>47624</wp:posOffset>
                </wp:positionH>
                <wp:positionV relativeFrom="paragraph">
                  <wp:posOffset>65405</wp:posOffset>
                </wp:positionV>
                <wp:extent cx="6010275" cy="0"/>
                <wp:effectExtent l="0" t="19050" r="9525" b="19050"/>
                <wp:wrapNone/>
                <wp:docPr id="10" name="Straight Connector 10"/>
                <wp:cNvGraphicFramePr/>
                <a:graphic xmlns:a="http://schemas.openxmlformats.org/drawingml/2006/main">
                  <a:graphicData uri="http://schemas.microsoft.com/office/word/2010/wordprocessingShape">
                    <wps:wsp>
                      <wps:cNvCnPr/>
                      <wps:spPr>
                        <a:xfrm>
                          <a:off x="0" y="0"/>
                          <a:ext cx="60102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75pt,5.15pt" to="47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10BwQEAANYDAAAOAAAAZHJzL2Uyb0RvYy54bWysU02P0zAQvSPxHyzfqZMillXUdA9dwQVB&#10;xbI/wOuMG0v+0tg06b9n7LbZFSAhEBfH9sx78954srmbnWVHwGSC73m7ajgDr8Jg/KHnj98+vLnl&#10;LGXpB2mDh56fIPG77etXmyl2sA5jsAMgIxKfuin2fMw5dkIkNYKTaRUieArqgE5mOuJBDCgnYndW&#10;rJvmRkwBh4hBQUp0e38O8m3l1xpU/qJ1gsxsz0lbrivW9amsYruR3QFlHI26yJD/oMJJ46noQnUv&#10;s2Tf0fxC5YzCkILOKxWcCFobBdUDuWmbn9w8jDJC9ULNSXFpU/p/tOrzcY/MDPR21B4vHb3RQ0Zp&#10;DmNmu+A9dTAgoyB1aoqpI8DO7/FySnGPxfas0ZUvGWJz7e5p6S7MmSm6vCGD6/fvOFPXmHgGRkz5&#10;IwTHyqbn1vhiXHby+CllKkap15RybT2bev72tm2qMFGUnbXUXT5ZOKd9BU3uqHpb6epcwc4iO0qa&#10;CKkU+NwWb1TAesouMG2sXYDNn4GX/AKFOnN/A14QtXLweQE74wP+rnqer5L1OZ/kv/Bdtk9hONVX&#10;qgEanurwMuhlOl+eK/z5d9z+AAAA//8DAFBLAwQUAAYACAAAACEA38oDCtsAAAAHAQAADwAAAGRy&#10;cy9kb3ducmV2LnhtbEyPzU7DMBCE70i8g7VI3KjDTymEOBWqQHDohRb1vI2XJBCvI9tJA0/PIg5w&#10;3JnR7DfFcnKdGinE1rOB81kGirjytuXawOv28ewGVEzIFjvPZOCTIizL46MCc+sP/ELjJtVKSjjm&#10;aKBJqc+1jlVDDuPM98TivfngMMkZam0DHqTcdfoiy661w5blQ4M9rRqqPjaDM1C7J/ee/HPY4sNu&#10;WIxfq2q3bo05PZnu70AlmtJfGH7wBR1KYdr7gW1UnYHFXIIiZ5egxL6dX8m0/a+gy0L/5y+/AQAA&#10;//8DAFBLAQItABQABgAIAAAAIQC2gziS/gAAAOEBAAATAAAAAAAAAAAAAAAAAAAAAABbQ29udGVu&#10;dF9UeXBlc10ueG1sUEsBAi0AFAAGAAgAAAAhADj9If/WAAAAlAEAAAsAAAAAAAAAAAAAAAAALwEA&#10;AF9yZWxzLy5yZWxzUEsBAi0AFAAGAAgAAAAhAOdHXQHBAQAA1gMAAA4AAAAAAAAAAAAAAAAALgIA&#10;AGRycy9lMm9Eb2MueG1sUEsBAi0AFAAGAAgAAAAhAN/KAwrbAAAABwEAAA8AAAAAAAAAAAAAAAAA&#10;GwQAAGRycy9kb3ducmV2LnhtbFBLBQYAAAAABAAEAPMAAAAjBQAAAAA=&#10;" strokecolor="#4579b8 [3044]" strokeweight="3pt"/>
            </w:pict>
          </mc:Fallback>
        </mc:AlternateContent>
      </w:r>
    </w:p>
    <w:p w:rsidR="00FB5C03" w:rsidRDefault="00FB5C03" w:rsidP="00FB5C03">
      <w:pPr>
        <w:pStyle w:val="ListParagraph"/>
      </w:pPr>
    </w:p>
    <w:p w:rsidR="00FB5C03" w:rsidRPr="00194920" w:rsidRDefault="00FB5C03" w:rsidP="00FB5C03">
      <w:pPr>
        <w:rPr>
          <w:b/>
          <w:sz w:val="28"/>
          <w:szCs w:val="28"/>
        </w:rPr>
      </w:pPr>
      <w:r w:rsidRPr="00194920">
        <w:rPr>
          <w:b/>
          <w:sz w:val="28"/>
          <w:szCs w:val="28"/>
        </w:rPr>
        <w:t>Ch</w:t>
      </w:r>
      <w:r>
        <w:rPr>
          <w:b/>
          <w:sz w:val="28"/>
          <w:szCs w:val="28"/>
        </w:rPr>
        <w:t>anges and Updates from 2.1</w:t>
      </w:r>
      <w:r w:rsidRPr="00194920">
        <w:rPr>
          <w:b/>
          <w:sz w:val="28"/>
          <w:szCs w:val="28"/>
        </w:rPr>
        <w:t xml:space="preserve"> to 2.1</w:t>
      </w:r>
      <w:r>
        <w:rPr>
          <w:b/>
          <w:sz w:val="28"/>
          <w:szCs w:val="28"/>
        </w:rPr>
        <w:t>L1</w:t>
      </w:r>
      <w:r w:rsidRPr="00194920">
        <w:rPr>
          <w:b/>
          <w:sz w:val="28"/>
          <w:szCs w:val="28"/>
        </w:rPr>
        <w:t>:</w:t>
      </w:r>
    </w:p>
    <w:p w:rsidR="00FB5C03" w:rsidRDefault="00FB5C03" w:rsidP="00FB5C03">
      <w:pPr>
        <w:pStyle w:val="ListParagraph"/>
      </w:pPr>
    </w:p>
    <w:p w:rsidR="00FB5C03" w:rsidRDefault="00FB5C03" w:rsidP="00FB5C03">
      <w:pPr>
        <w:pStyle w:val="ListParagraph"/>
        <w:numPr>
          <w:ilvl w:val="0"/>
          <w:numId w:val="4"/>
        </w:numPr>
      </w:pPr>
      <w:r w:rsidRPr="00194920">
        <w:t>All input files based on CONUS2.1 including growth rates with the exception of Midwest updates to the control and UAF files. Changes to the control file were submitted by Indiana, Illinois, Wisconsin, Michigan and Ohio primarily for coal fired units; this file is dated March 3, 2014. The UAF file was updated to reflect changes to refueling and/or shutdowns for Indiana, Michigan and Wisconsin; the UAF is dated March 5, 2014 for coal fired units.</w:t>
      </w:r>
    </w:p>
    <w:p w:rsidR="00FB5C03" w:rsidRDefault="00FB5C03" w:rsidP="00FB5C03"/>
    <w:p w:rsidR="00FB5C03" w:rsidRDefault="00FB5C03" w:rsidP="00FB5C03">
      <w:pPr>
        <w:rPr>
          <w:b/>
        </w:rPr>
      </w:pPr>
      <w:r>
        <w:rPr>
          <w:b/>
          <w:noProof/>
        </w:rPr>
        <mc:AlternateContent>
          <mc:Choice Requires="wps">
            <w:drawing>
              <wp:anchor distT="0" distB="0" distL="114300" distR="114300" simplePos="0" relativeHeight="251676672" behindDoc="0" locked="0" layoutInCell="1" allowOverlap="1" wp14:anchorId="3FCA6571" wp14:editId="52A26D73">
                <wp:simplePos x="0" y="0"/>
                <wp:positionH relativeFrom="column">
                  <wp:posOffset>47624</wp:posOffset>
                </wp:positionH>
                <wp:positionV relativeFrom="paragraph">
                  <wp:posOffset>65405</wp:posOffset>
                </wp:positionV>
                <wp:extent cx="6010275" cy="0"/>
                <wp:effectExtent l="0" t="19050" r="9525" b="19050"/>
                <wp:wrapNone/>
                <wp:docPr id="11" name="Straight Connector 11"/>
                <wp:cNvGraphicFramePr/>
                <a:graphic xmlns:a="http://schemas.openxmlformats.org/drawingml/2006/main">
                  <a:graphicData uri="http://schemas.microsoft.com/office/word/2010/wordprocessingShape">
                    <wps:wsp>
                      <wps:cNvCnPr/>
                      <wps:spPr>
                        <a:xfrm>
                          <a:off x="0" y="0"/>
                          <a:ext cx="60102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75pt,5.15pt" to="47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gMbwQEAANYDAAAOAAAAZHJzL2Uyb0RvYy54bWysU02P0zAQvSPxHyzfqZMillXUdA9dwQVB&#10;xbI/wOuMG0v+0tg06b9n7LbZFSAhEBfH45k3M+/NZHM3O8uOgMkE3/N21XAGXoXB+EPPH799eHPL&#10;WcrSD9IGDz0/QeJ329evNlPsYB3GYAdARkl86qbY8zHn2AmR1AhOplWI4MmpAzqZycSDGFBOlN1Z&#10;sW6aGzEFHCIGBSnR6/3Zybc1v9ag8hetE2Rme0695XpiPZ/KKbYb2R1QxtGoSxvyH7pw0ngquqS6&#10;l1my72h+SeWMwpCCzisVnAhaGwWVA7Fpm5/YPIwyQuVC4qS4yJT+X1r1+bhHZgaaXcuZl45m9JBR&#10;msOY2S54TwoGZOQkpaaYOgLs/B4vVop7LLRnja58iRCbq7qnRV2YM1P0eEME1+/fcaauPvEMjJjy&#10;RwiOlUvPrfGFuOzk8VPKVIxCryHl2Xo29fztbdvUEYrS2bmXessnC+ewr6CJHVVva7q6V7CzyI6S&#10;NkIqBT5XblTAeoouMG2sXYDNn4GX+AKFunN/A14QtXLweQE74wP+rnqery3rczzp84J3uT6F4VSn&#10;VB20PFXCy6KX7XxpV/jz77j9AQAA//8DAFBLAwQUAAYACAAAACEA38oDCtsAAAAHAQAADwAAAGRy&#10;cy9kb3ducmV2LnhtbEyPzU7DMBCE70i8g7VI3KjDTymEOBWqQHDohRb1vI2XJBCvI9tJA0/PIg5w&#10;3JnR7DfFcnKdGinE1rOB81kGirjytuXawOv28ewGVEzIFjvPZOCTIizL46MCc+sP/ELjJtVKSjjm&#10;aKBJqc+1jlVDDuPM98TivfngMMkZam0DHqTcdfoiy661w5blQ4M9rRqqPjaDM1C7J/ee/HPY4sNu&#10;WIxfq2q3bo05PZnu70AlmtJfGH7wBR1KYdr7gW1UnYHFXIIiZ5egxL6dX8m0/a+gy0L/5y+/AQAA&#10;//8DAFBLAQItABQABgAIAAAAIQC2gziS/gAAAOEBAAATAAAAAAAAAAAAAAAAAAAAAABbQ29udGVu&#10;dF9UeXBlc10ueG1sUEsBAi0AFAAGAAgAAAAhADj9If/WAAAAlAEAAAsAAAAAAAAAAAAAAAAALwEA&#10;AF9yZWxzLy5yZWxzUEsBAi0AFAAGAAgAAAAhAI1KAxvBAQAA1gMAAA4AAAAAAAAAAAAAAAAALgIA&#10;AGRycy9lMm9Eb2MueG1sUEsBAi0AFAAGAAgAAAAhAN/KAwrbAAAABwEAAA8AAAAAAAAAAAAAAAAA&#10;GwQAAGRycy9kb3ducmV2LnhtbFBLBQYAAAAABAAEAPMAAAAjBQAAAAA=&#10;" strokecolor="#4579b8 [3044]" strokeweight="3pt"/>
            </w:pict>
          </mc:Fallback>
        </mc:AlternateContent>
      </w:r>
    </w:p>
    <w:p w:rsidR="00FB5C03" w:rsidRDefault="00FB5C03" w:rsidP="00FB5C03">
      <w:pPr>
        <w:rPr>
          <w:b/>
          <w:sz w:val="28"/>
          <w:szCs w:val="28"/>
        </w:rPr>
      </w:pPr>
      <w:r w:rsidRPr="002B0B80">
        <w:rPr>
          <w:b/>
          <w:sz w:val="28"/>
          <w:szCs w:val="28"/>
        </w:rPr>
        <w:t>Changes and Updates from 2.0</w:t>
      </w:r>
      <w:r>
        <w:rPr>
          <w:b/>
          <w:sz w:val="28"/>
          <w:szCs w:val="28"/>
        </w:rPr>
        <w:t xml:space="preserve"> to 2.1</w:t>
      </w:r>
      <w:r w:rsidRPr="002B0B80">
        <w:rPr>
          <w:b/>
          <w:sz w:val="28"/>
          <w:szCs w:val="28"/>
        </w:rPr>
        <w:t>:</w:t>
      </w:r>
    </w:p>
    <w:p w:rsidR="00FB5C03" w:rsidRPr="002B0B80" w:rsidRDefault="00FB5C03" w:rsidP="00FB5C03">
      <w:pPr>
        <w:rPr>
          <w:b/>
          <w:sz w:val="28"/>
          <w:szCs w:val="28"/>
        </w:rPr>
      </w:pPr>
    </w:p>
    <w:p w:rsidR="00FB5C03" w:rsidRPr="00982EB4" w:rsidRDefault="00FB5C03" w:rsidP="00FB5C03">
      <w:pPr>
        <w:pStyle w:val="ListParagraph"/>
        <w:numPr>
          <w:ilvl w:val="0"/>
          <w:numId w:val="4"/>
        </w:numPr>
      </w:pPr>
      <w:r w:rsidRPr="00982EB4">
        <w:t xml:space="preserve">UAF and Controls File Data – The UAF and controls file inputs for 2.0 were developed using the UAF and controls files dated July 18, 2013.  The UAF and controls file for 2.1 were dated December 16, 2013.  Changes provided by states included updates from the Midwest, Northeast (including NY information on RACT and other rule changes as well as updates from CT, NH, MD, and NJ), and SESARM (updates from VA and updates from KY including new information on the federal TVA consent agreement).  </w:t>
      </w:r>
    </w:p>
    <w:p w:rsidR="00FB5C03" w:rsidRPr="00903BD4" w:rsidRDefault="00FB5C03" w:rsidP="00FB5C03">
      <w:pPr>
        <w:pStyle w:val="ListParagraph"/>
      </w:pPr>
    </w:p>
    <w:p w:rsidR="00FB5C03" w:rsidRDefault="00FB5C03" w:rsidP="00FB5C03">
      <w:pPr>
        <w:pStyle w:val="ListParagraph"/>
        <w:numPr>
          <w:ilvl w:val="0"/>
          <w:numId w:val="4"/>
        </w:numPr>
      </w:pPr>
      <w:r>
        <w:t>The UAF was updated to ensure that any unit listed in the preprocessor as not having enough data to calculate an ertac heat rate, a base year utilization fraction, or a unit optimal load threshold had the appropriate data included in the UAF so that the unit could be processed and available for FY demand.</w:t>
      </w:r>
    </w:p>
    <w:p w:rsidR="00FB5C03" w:rsidRDefault="00FB5C03" w:rsidP="00FB5C03">
      <w:pPr>
        <w:pStyle w:val="ListParagraph"/>
      </w:pPr>
    </w:p>
    <w:p w:rsidR="00FB5C03" w:rsidRDefault="00FB5C03" w:rsidP="00FB5C03">
      <w:pPr>
        <w:pStyle w:val="ListParagraph"/>
        <w:numPr>
          <w:ilvl w:val="0"/>
          <w:numId w:val="4"/>
        </w:numPr>
      </w:pPr>
      <w:r>
        <w:lastRenderedPageBreak/>
        <w:t>In 2.0, Astoria (ORIS 8906) had 6 units identified by NY as being better represented by combining the data in to 3 units.  Therefore, units 30, 40 and 50 were added to the UAF.  31RH, 32SH, 41SH, 42RH, 51RHY, and 52SH were marked as non-EGUs.  Data from the 6 units were combined with consent and agreement by the state staff into 3 units within the nonCAMD hourly file.</w:t>
      </w:r>
    </w:p>
    <w:p w:rsidR="00FB5C03" w:rsidRDefault="00FB5C03" w:rsidP="00FB5C03">
      <w:pPr>
        <w:pStyle w:val="ListParagraph"/>
      </w:pPr>
    </w:p>
    <w:p w:rsidR="00FB5C03" w:rsidRDefault="00FB5C03" w:rsidP="00FB5C03">
      <w:pPr>
        <w:pStyle w:val="ListParagraph"/>
        <w:numPr>
          <w:ilvl w:val="0"/>
          <w:numId w:val="4"/>
        </w:numPr>
      </w:pPr>
      <w:r>
        <w:t>In 2.0, the preprocessor identified about 141 lines in the BY 2011 data where emissions were negative.  CAMD representatives (Louis Nichols) explained these negative values were a by-product of the algorithm CAMD used to parse out data from units exhausting a combined stack and that CAMD was looking into the negative numbers.  In 2.1, these 141 lines of hourly data were included in the nonCAMD hourly file, with the negative values replaced with zero.  The flag for each was replaced with “ERTAC” to denote exactly which items of information had been substituted.  Only negative values were replaced with zero.</w:t>
      </w:r>
    </w:p>
    <w:p w:rsidR="00FB5C03" w:rsidRDefault="00FB5C03" w:rsidP="00FB5C03">
      <w:pPr>
        <w:pStyle w:val="ListParagraph"/>
      </w:pPr>
    </w:p>
    <w:p w:rsidR="00FB5C03" w:rsidRDefault="00FB5C03" w:rsidP="00FB5C03">
      <w:pPr>
        <w:pStyle w:val="ListParagraph"/>
        <w:numPr>
          <w:ilvl w:val="0"/>
          <w:numId w:val="4"/>
        </w:numPr>
      </w:pPr>
      <w:r w:rsidRPr="00982EB4">
        <w:t>Growth rates used for 2.1 were from the file named, “v3b_Merged_gas-EGU-emissions plus capacity_region.xlsx” from email correspondence with Bob Lopez on 12/5/2013.  These rates in 2.1 reflect a no growth assumption (rate=1) for natural gas boilers, which was not included in the 2.0 growth rates.  Combustion turbines and combined cycle units were adjusted in the 2.1 factors to account for the boiler-gas generation.</w:t>
      </w:r>
    </w:p>
    <w:p w:rsidR="00FB5C03" w:rsidRDefault="00FB5C03" w:rsidP="00FB5C03"/>
    <w:p w:rsidR="00FB5C03" w:rsidRDefault="00FB5C03" w:rsidP="00FB5C03">
      <w:pPr>
        <w:rPr>
          <w:b/>
        </w:rPr>
      </w:pPr>
      <w:r>
        <w:rPr>
          <w:b/>
          <w:noProof/>
        </w:rPr>
        <mc:AlternateContent>
          <mc:Choice Requires="wps">
            <w:drawing>
              <wp:anchor distT="0" distB="0" distL="114300" distR="114300" simplePos="0" relativeHeight="251678720" behindDoc="0" locked="0" layoutInCell="1" allowOverlap="1" wp14:anchorId="3FCA6571" wp14:editId="52A26D73">
                <wp:simplePos x="0" y="0"/>
                <wp:positionH relativeFrom="column">
                  <wp:posOffset>47624</wp:posOffset>
                </wp:positionH>
                <wp:positionV relativeFrom="paragraph">
                  <wp:posOffset>65405</wp:posOffset>
                </wp:positionV>
                <wp:extent cx="6010275" cy="0"/>
                <wp:effectExtent l="0" t="19050" r="9525" b="19050"/>
                <wp:wrapNone/>
                <wp:docPr id="12" name="Straight Connector 12"/>
                <wp:cNvGraphicFramePr/>
                <a:graphic xmlns:a="http://schemas.openxmlformats.org/drawingml/2006/main">
                  <a:graphicData uri="http://schemas.microsoft.com/office/word/2010/wordprocessingShape">
                    <wps:wsp>
                      <wps:cNvCnPr/>
                      <wps:spPr>
                        <a:xfrm>
                          <a:off x="0" y="0"/>
                          <a:ext cx="60102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5pt,5.15pt" to="47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eE1wgEAANYDAAAOAAAAZHJzL2Uyb0RvYy54bWysU02P0zAQvSPxHyzfqZMillXUdA9dwQVB&#10;xbI/wOuMG0v+0tg06b9n7LbZFSAhEBfH45n3Zt7MZHM3O8uOgMkE3/N21XAGXoXB+EPPH799eHPL&#10;WcrSD9IGDz0/QeJ329evNlPsYB3GYAdARiQ+dVPs+Zhz7IRIagQn0ypE8OTUAZ3MZOJBDCgnYndW&#10;rJvmRkwBh4hBQUr0en928m3l1xpU/qJ1gsxsz6m2XE+s51M5xXYjuwPKOBp1KUP+QxVOGk9JF6p7&#10;mSX7juYXKmcUhhR0XqngRNDaKKgaSE3b/KTmYZQRqhZqTopLm9L/o1Wfj3tkZqDZrTnz0tGMHjJK&#10;cxgz2wXvqYMBGTmpU1NMHQF2fo8XK8U9FtmzRle+JIjNtbunpbswZ6bo8YYErt+/40xdfeIZGDHl&#10;jxAcK5eeW+OLcNnJ46eUKRmFXkPKs/Vs6vnb27apIxSlsnMt9ZZPFs5hX0GTOsreVrq6V7CzyI6S&#10;NkIqBT63RRslsJ6iC0wbaxdg82fgJb5Aoe7c34AXRM0cfF7AzviAv8ue52vJ+hxP5b/QXa5PYTjV&#10;KVUHLU9VeFn0sp0v7Qp//h23PwAAAP//AwBQSwMEFAAGAAgAAAAhAN/KAwrbAAAABwEAAA8AAABk&#10;cnMvZG93bnJldi54bWxMj81OwzAQhO9IvIO1SNyow08phDgVqkBw6IUW9byNlyQQryPbSQNPzyIO&#10;cNyZ0ew3xXJynRopxNazgfNZBoq48rbl2sDr9vHsBlRMyBY7z2TgkyIsy+OjAnPrD/xC4ybVSko4&#10;5migSanPtY5VQw7jzPfE4r354DDJGWptAx6k3HX6IsuutcOW5UODPa0aqj42gzNQuyf3nvxz2OLD&#10;bliMX6tqt26NOT2Z7u9AJZrSXxh+8AUdSmHa+4FtVJ2BxVyCImeXoMS+nV/JtP2voMtC/+cvvwEA&#10;AP//AwBQSwECLQAUAAYACAAAACEAtoM4kv4AAADhAQAAEwAAAAAAAAAAAAAAAAAAAAAAW0NvbnRl&#10;bnRfVHlwZXNdLnhtbFBLAQItABQABgAIAAAAIQA4/SH/1gAAAJQBAAALAAAAAAAAAAAAAAAAAC8B&#10;AABfcmVscy8ucmVsc1BLAQItABQABgAIAAAAIQAzXeE1wgEAANYDAAAOAAAAAAAAAAAAAAAAAC4C&#10;AABkcnMvZTJvRG9jLnhtbFBLAQItABQABgAIAAAAIQDfygMK2wAAAAcBAAAPAAAAAAAAAAAAAAAA&#10;ABwEAABkcnMvZG93bnJldi54bWxQSwUGAAAAAAQABADzAAAAJAUAAAAA&#10;" strokecolor="#4579b8 [3044]" strokeweight="3pt"/>
            </w:pict>
          </mc:Fallback>
        </mc:AlternateContent>
      </w:r>
    </w:p>
    <w:p w:rsidR="00685168" w:rsidRPr="002B0B80" w:rsidRDefault="002B0B80">
      <w:pPr>
        <w:rPr>
          <w:b/>
          <w:sz w:val="28"/>
          <w:szCs w:val="28"/>
        </w:rPr>
      </w:pPr>
      <w:r w:rsidRPr="002B0B80">
        <w:rPr>
          <w:b/>
          <w:sz w:val="28"/>
          <w:szCs w:val="28"/>
        </w:rPr>
        <w:t>Changes and Updates from 1.7 to 2.0:</w:t>
      </w:r>
    </w:p>
    <w:p w:rsidR="002B0B80" w:rsidRDefault="002B0B80"/>
    <w:p w:rsidR="002B0B80" w:rsidRDefault="002B0B80" w:rsidP="002B0B80">
      <w:pPr>
        <w:pStyle w:val="ListParagraph"/>
        <w:numPr>
          <w:ilvl w:val="0"/>
          <w:numId w:val="4"/>
        </w:numPr>
      </w:pPr>
      <w:r>
        <w:t xml:space="preserve">Base Year Inventory - The hourly </w:t>
      </w:r>
      <w:r w:rsidR="00BE058D">
        <w:t>BY</w:t>
      </w:r>
      <w:r>
        <w:t xml:space="preserve"> inventory for 1.7 was CAMD 2007.  For 2.</w:t>
      </w:r>
      <w:r w:rsidR="002B1BDC">
        <w:t>0</w:t>
      </w:r>
      <w:r>
        <w:t xml:space="preserve">, the hourly </w:t>
      </w:r>
      <w:r w:rsidR="00BE058D">
        <w:t>BY</w:t>
      </w:r>
      <w:r>
        <w:t xml:space="preserve"> inventory was CAMD 2011.</w:t>
      </w:r>
    </w:p>
    <w:p w:rsidR="002B0B80" w:rsidRDefault="002B0B80" w:rsidP="002B0B80">
      <w:pPr>
        <w:pStyle w:val="ListParagraph"/>
      </w:pPr>
    </w:p>
    <w:p w:rsidR="002B0B80" w:rsidRDefault="002B0B80" w:rsidP="002B0B80">
      <w:pPr>
        <w:pStyle w:val="ListParagraph"/>
        <w:numPr>
          <w:ilvl w:val="0"/>
          <w:numId w:val="4"/>
        </w:numPr>
      </w:pPr>
      <w:r>
        <w:t xml:space="preserve">UAF and Controls File Data – The UAF and controls file inputs for </w:t>
      </w:r>
      <w:r w:rsidR="00BE058D">
        <w:t>2.0</w:t>
      </w:r>
      <w:r>
        <w:t xml:space="preserve"> were developed using the UAF and controls files dated </w:t>
      </w:r>
      <w:r w:rsidR="00BE058D">
        <w:t>July 18, 2013.  The UAF and controls file for 1.7 were also dated July 18, 2013, but these files were based on a BY of 20</w:t>
      </w:r>
      <w:r w:rsidR="00982EB4">
        <w:t>07</w:t>
      </w:r>
      <w:r w:rsidR="00BE058D">
        <w:t>.</w:t>
      </w:r>
    </w:p>
    <w:p w:rsidR="00BE058D" w:rsidRDefault="00BE058D" w:rsidP="00BE058D">
      <w:pPr>
        <w:pStyle w:val="ListParagraph"/>
      </w:pPr>
    </w:p>
    <w:p w:rsidR="00BE058D" w:rsidRDefault="00BE058D" w:rsidP="002B0B80">
      <w:pPr>
        <w:pStyle w:val="ListParagraph"/>
        <w:numPr>
          <w:ilvl w:val="0"/>
          <w:numId w:val="4"/>
        </w:numPr>
      </w:pPr>
      <w:r>
        <w:t>Growth Rate Data – 1.7 growth rates were based on AEO2013, in the file named, “</w:t>
      </w:r>
      <w:r w:rsidR="00B43115">
        <w:t>2-6-2013 Growth Rates Regional Template ERTAC Round 1_6.xlsx.”  The 2.0 growth rates were based on AEO2013, in the final named “2-6-2013 Growth rates Regional Template ERTAC Round 2_0.xlsx.”  Both files are based on AEO2013 and NERC data.  However, there were some differences in the way a few regions were aggregated, which changed a few growth rates, both annual and peak.  Overall, growth rate changes between 1.7 and 2.0 were mainly due to the different base year rather than changes in methodology or base EIA data.</w:t>
      </w:r>
    </w:p>
    <w:p w:rsidR="002B0B80" w:rsidRDefault="002B0B80" w:rsidP="002B0B80">
      <w:pPr>
        <w:pStyle w:val="ListParagraph"/>
      </w:pPr>
      <w:r>
        <w:t xml:space="preserve"> </w:t>
      </w:r>
    </w:p>
    <w:p w:rsidR="002B0B80" w:rsidRDefault="002B0B80" w:rsidP="002B0B80">
      <w:pPr>
        <w:pStyle w:val="ListParagraph"/>
        <w:numPr>
          <w:ilvl w:val="0"/>
          <w:numId w:val="4"/>
        </w:numPr>
      </w:pPr>
      <w:r>
        <w:lastRenderedPageBreak/>
        <w:t xml:space="preserve">Units with little or no base year data – In the 1.7 input </w:t>
      </w:r>
      <w:proofErr w:type="gramStart"/>
      <w:r>
        <w:t>files,</w:t>
      </w:r>
      <w:proofErr w:type="gramEnd"/>
      <w:r>
        <w:t xml:space="preserve"> some of these units were included in the nonCAMD hourly file, with one line item of “fake” data for each unit that would allow the tool to calculate reasonable heat rates, emission rates, etc for that unit.  Others of these units had the additional data supplied in the UAF to allow the program to process these units in the FY, with no additional hourly data supplied in the nonCAMD hourly file.  In the 2.0 input files, all units with little or no base year data were supplied the additional data needed in the UAF to allow processing of the units.</w:t>
      </w:r>
      <w:r w:rsidR="000C0341">
        <w:t xml:space="preserve">  Version 2.0 did not need a non CAMD input file.</w:t>
      </w:r>
    </w:p>
    <w:p w:rsidR="00BE058D" w:rsidRDefault="00BE058D" w:rsidP="00BE058D">
      <w:pPr>
        <w:pStyle w:val="ListParagraph"/>
      </w:pPr>
    </w:p>
    <w:p w:rsidR="00BE058D" w:rsidRDefault="00BE058D" w:rsidP="002B0B80">
      <w:pPr>
        <w:pStyle w:val="ListParagraph"/>
        <w:numPr>
          <w:ilvl w:val="0"/>
          <w:numId w:val="4"/>
        </w:numPr>
      </w:pPr>
      <w:r>
        <w:t>Non-EGUs – In the 1.7 UAF, some states included units that were non-EGUs in the UAF, while others omitted those units.  In the 2.0 UAF, all non-EGUs were included in the UAF and marked as “non-EGUs.”</w:t>
      </w:r>
    </w:p>
    <w:p w:rsidR="00BE058D" w:rsidRDefault="00BE058D" w:rsidP="00BE058D">
      <w:pPr>
        <w:pStyle w:val="ListParagraph"/>
      </w:pPr>
    </w:p>
    <w:p w:rsidR="00BE058D" w:rsidRDefault="00BE058D" w:rsidP="002B0B80">
      <w:pPr>
        <w:pStyle w:val="ListParagraph"/>
        <w:numPr>
          <w:ilvl w:val="0"/>
          <w:numId w:val="4"/>
        </w:numPr>
      </w:pPr>
      <w:r>
        <w:t>In the 1.7 UAF, several units were identified as causing the tool to crash (for example, Alma, Paradise #3).  In the 2.0 UAF, only one unit caused a tool crash, an oil fired unit in NWPP (ORIS 2331, unit 1)</w:t>
      </w:r>
    </w:p>
    <w:sectPr w:rsidR="00BE058D" w:rsidSect="00E772C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EB9" w:rsidRDefault="00B70EB9" w:rsidP="00220F97">
      <w:pPr>
        <w:spacing w:line="240" w:lineRule="auto"/>
      </w:pPr>
      <w:r>
        <w:separator/>
      </w:r>
    </w:p>
  </w:endnote>
  <w:endnote w:type="continuationSeparator" w:id="0">
    <w:p w:rsidR="00B70EB9" w:rsidRDefault="00B70EB9" w:rsidP="00220F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914" w:rsidRPr="00220F97" w:rsidRDefault="00743914">
    <w:pPr>
      <w:pStyle w:val="Footer"/>
      <w:rPr>
        <w:sz w:val="18"/>
        <w:szCs w:val="18"/>
      </w:rPr>
    </w:pPr>
    <w:fldSimple w:instr=" FILENAME  \* Lower  \* MERGEFORMAT ">
      <w:r w:rsidRPr="009F47B9">
        <w:rPr>
          <w:noProof/>
          <w:sz w:val="18"/>
          <w:szCs w:val="18"/>
        </w:rPr>
        <w:t>change log 2.5l2 7-13-2016.docx</w:t>
      </w:r>
    </w:fldSimple>
    <w:r>
      <w:rPr>
        <w:sz w:val="18"/>
        <w:szCs w:val="18"/>
      </w:rPr>
      <w:tab/>
    </w:r>
    <w:r>
      <w:rPr>
        <w:sz w:val="18"/>
        <w:szCs w:val="18"/>
      </w:rPr>
      <w:tab/>
      <w:t>D. McLeod</w:t>
    </w:r>
  </w:p>
  <w:p w:rsidR="00743914" w:rsidRPr="00220F97" w:rsidRDefault="00743914">
    <w:pPr>
      <w:pStyle w:val="Footer"/>
      <w:rPr>
        <w:sz w:val="18"/>
        <w:szCs w:val="18"/>
      </w:rPr>
    </w:pPr>
    <w:r w:rsidRPr="00220F97">
      <w:rPr>
        <w:sz w:val="18"/>
        <w:szCs w:val="18"/>
      </w:rPr>
      <w:t xml:space="preserve">Page </w:t>
    </w:r>
    <w:r w:rsidRPr="00220F97">
      <w:rPr>
        <w:sz w:val="18"/>
        <w:szCs w:val="18"/>
      </w:rPr>
      <w:fldChar w:fldCharType="begin"/>
    </w:r>
    <w:r w:rsidRPr="00220F97">
      <w:rPr>
        <w:sz w:val="18"/>
        <w:szCs w:val="18"/>
      </w:rPr>
      <w:instrText xml:space="preserve"> PAGE   \* MERGEFORMAT </w:instrText>
    </w:r>
    <w:r w:rsidRPr="00220F97">
      <w:rPr>
        <w:sz w:val="18"/>
        <w:szCs w:val="18"/>
      </w:rPr>
      <w:fldChar w:fldCharType="separate"/>
    </w:r>
    <w:r w:rsidR="00DA7984">
      <w:rPr>
        <w:noProof/>
        <w:sz w:val="18"/>
        <w:szCs w:val="18"/>
      </w:rPr>
      <w:t>1</w:t>
    </w:r>
    <w:r w:rsidRPr="00220F97">
      <w:rPr>
        <w:sz w:val="18"/>
        <w:szCs w:val="18"/>
      </w:rPr>
      <w:fldChar w:fldCharType="end"/>
    </w:r>
    <w:r>
      <w:rPr>
        <w:sz w:val="18"/>
        <w:szCs w:val="18"/>
      </w:rPr>
      <w:tab/>
    </w:r>
    <w:r>
      <w:rPr>
        <w:sz w:val="18"/>
        <w:szCs w:val="18"/>
      </w:rPr>
      <w:tab/>
      <w:t>doris.mcleod@deq.virginia.gov</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EB9" w:rsidRDefault="00B70EB9" w:rsidP="00220F97">
      <w:pPr>
        <w:spacing w:line="240" w:lineRule="auto"/>
      </w:pPr>
      <w:r>
        <w:separator/>
      </w:r>
    </w:p>
  </w:footnote>
  <w:footnote w:type="continuationSeparator" w:id="0">
    <w:p w:rsidR="00B70EB9" w:rsidRDefault="00B70EB9" w:rsidP="00220F9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3036"/>
    <w:multiLevelType w:val="hybridMultilevel"/>
    <w:tmpl w:val="8CB0C8C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F4086F"/>
    <w:multiLevelType w:val="hybridMultilevel"/>
    <w:tmpl w:val="2BA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885960"/>
    <w:multiLevelType w:val="multilevel"/>
    <w:tmpl w:val="25BABE46"/>
    <w:styleLink w:val="StageII"/>
    <w:lvl w:ilvl="0">
      <w:start w:val="1"/>
      <w:numFmt w:val="decimal"/>
      <w:lvlText w:val="%1."/>
      <w:lvlJc w:val="left"/>
      <w:pPr>
        <w:ind w:left="1080" w:hanging="1080"/>
      </w:pPr>
      <w:rPr>
        <w:rFonts w:ascii="Times New Roman" w:hAnsi="Times New Roman" w:hint="default"/>
        <w:b/>
        <w:i w:val="0"/>
        <w:sz w:val="28"/>
      </w:rPr>
    </w:lvl>
    <w:lvl w:ilvl="1">
      <w:start w:val="1"/>
      <w:numFmt w:val="decimal"/>
      <w:lvlText w:val="%1.%2."/>
      <w:lvlJc w:val="left"/>
      <w:pPr>
        <w:ind w:left="1080" w:hanging="1080"/>
      </w:pPr>
      <w:rPr>
        <w:rFonts w:ascii="Times New Roman" w:hAnsi="Times New Roman" w:hint="default"/>
        <w:b w:val="0"/>
        <w:i/>
        <w:sz w:val="28"/>
      </w:rPr>
    </w:lvl>
    <w:lvl w:ilvl="2">
      <w:start w:val="1"/>
      <w:numFmt w:val="decimal"/>
      <w:lvlText w:val="%1.%2.%3."/>
      <w:lvlJc w:val="left"/>
      <w:pPr>
        <w:ind w:left="1080" w:hanging="1080"/>
      </w:pPr>
      <w:rPr>
        <w:rFonts w:ascii="Times New Roman" w:hAnsi="Times New Roman" w:hint="default"/>
        <w:sz w:val="28"/>
      </w:rPr>
    </w:lvl>
    <w:lvl w:ilvl="3">
      <w:start w:val="1"/>
      <w:numFmt w:val="decimal"/>
      <w:lvlText w:val="%1.%2.%3.%4."/>
      <w:lvlJc w:val="left"/>
      <w:pPr>
        <w:ind w:left="1440" w:hanging="1440"/>
      </w:pPr>
      <w:rPr>
        <w:rFonts w:ascii="Times New Roman" w:hAnsi="Times New Roman" w:hint="default"/>
        <w:b w:val="0"/>
        <w:i/>
        <w:sz w:val="24"/>
      </w:rPr>
    </w:lvl>
    <w:lvl w:ilvl="4">
      <w:start w:val="1"/>
      <w:numFmt w:val="decimal"/>
      <w:lvlText w:val="%1.%2.%3.%4.%5."/>
      <w:lvlJc w:val="left"/>
      <w:pPr>
        <w:ind w:left="1800" w:hanging="1800"/>
      </w:pPr>
      <w:rPr>
        <w:rFonts w:ascii="Times New Roman" w:hAnsi="Times New Roman" w:hint="default"/>
        <w:b w:val="0"/>
        <w:i w:val="0"/>
        <w:sz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D2E5129"/>
    <w:multiLevelType w:val="hybridMultilevel"/>
    <w:tmpl w:val="A1CEF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077D83"/>
    <w:multiLevelType w:val="hybridMultilevel"/>
    <w:tmpl w:val="8E14F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5308CB"/>
    <w:multiLevelType w:val="hybridMultilevel"/>
    <w:tmpl w:val="AD6A5F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2"/>
  </w:num>
  <w:num w:numId="3">
    <w:abstractNumId w:val="2"/>
  </w:num>
  <w:num w:numId="4">
    <w:abstractNumId w:val="3"/>
  </w:num>
  <w:num w:numId="5">
    <w:abstractNumId w:val="0"/>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41"/>
    <w:rsid w:val="00000812"/>
    <w:rsid w:val="0000181E"/>
    <w:rsid w:val="00007BE0"/>
    <w:rsid w:val="00010162"/>
    <w:rsid w:val="00013056"/>
    <w:rsid w:val="000157CB"/>
    <w:rsid w:val="00024395"/>
    <w:rsid w:val="00033275"/>
    <w:rsid w:val="00041C83"/>
    <w:rsid w:val="000521AA"/>
    <w:rsid w:val="000777BA"/>
    <w:rsid w:val="0009410A"/>
    <w:rsid w:val="000A4B6A"/>
    <w:rsid w:val="000A5D38"/>
    <w:rsid w:val="000B24C0"/>
    <w:rsid w:val="000B4B90"/>
    <w:rsid w:val="000B767C"/>
    <w:rsid w:val="000C0341"/>
    <w:rsid w:val="000C5180"/>
    <w:rsid w:val="000E7F65"/>
    <w:rsid w:val="000F2419"/>
    <w:rsid w:val="000F4447"/>
    <w:rsid w:val="00120D64"/>
    <w:rsid w:val="00120D66"/>
    <w:rsid w:val="00127705"/>
    <w:rsid w:val="00130623"/>
    <w:rsid w:val="00133256"/>
    <w:rsid w:val="001349A1"/>
    <w:rsid w:val="001375D8"/>
    <w:rsid w:val="001457E8"/>
    <w:rsid w:val="001659DE"/>
    <w:rsid w:val="00166F38"/>
    <w:rsid w:val="00177956"/>
    <w:rsid w:val="00180770"/>
    <w:rsid w:val="00194920"/>
    <w:rsid w:val="001B4B57"/>
    <w:rsid w:val="001E7E5D"/>
    <w:rsid w:val="001F136D"/>
    <w:rsid w:val="001F1849"/>
    <w:rsid w:val="001F22E1"/>
    <w:rsid w:val="001F2A9E"/>
    <w:rsid w:val="001F5332"/>
    <w:rsid w:val="0020157C"/>
    <w:rsid w:val="00204769"/>
    <w:rsid w:val="002150DD"/>
    <w:rsid w:val="00220F97"/>
    <w:rsid w:val="002408FE"/>
    <w:rsid w:val="00244758"/>
    <w:rsid w:val="002608E2"/>
    <w:rsid w:val="00262AF1"/>
    <w:rsid w:val="0027581D"/>
    <w:rsid w:val="002769B9"/>
    <w:rsid w:val="00286F84"/>
    <w:rsid w:val="002874EC"/>
    <w:rsid w:val="00287730"/>
    <w:rsid w:val="00295581"/>
    <w:rsid w:val="002A15D9"/>
    <w:rsid w:val="002A782B"/>
    <w:rsid w:val="002B0B80"/>
    <w:rsid w:val="002B1BDC"/>
    <w:rsid w:val="002B7588"/>
    <w:rsid w:val="002D4750"/>
    <w:rsid w:val="002E0A5E"/>
    <w:rsid w:val="002F2FFE"/>
    <w:rsid w:val="002F5A9E"/>
    <w:rsid w:val="00301305"/>
    <w:rsid w:val="0030180B"/>
    <w:rsid w:val="00307DE8"/>
    <w:rsid w:val="003200B4"/>
    <w:rsid w:val="00327BA9"/>
    <w:rsid w:val="00372259"/>
    <w:rsid w:val="00377905"/>
    <w:rsid w:val="00380398"/>
    <w:rsid w:val="003978C2"/>
    <w:rsid w:val="003A1059"/>
    <w:rsid w:val="003A1215"/>
    <w:rsid w:val="003A3CB7"/>
    <w:rsid w:val="003A5510"/>
    <w:rsid w:val="003C18ED"/>
    <w:rsid w:val="003C692A"/>
    <w:rsid w:val="003E12C8"/>
    <w:rsid w:val="003E30CF"/>
    <w:rsid w:val="003F52D9"/>
    <w:rsid w:val="00400477"/>
    <w:rsid w:val="004057A4"/>
    <w:rsid w:val="004363A9"/>
    <w:rsid w:val="0043658D"/>
    <w:rsid w:val="00443425"/>
    <w:rsid w:val="00454AC7"/>
    <w:rsid w:val="00460AB8"/>
    <w:rsid w:val="00466601"/>
    <w:rsid w:val="00470AF9"/>
    <w:rsid w:val="00480FC6"/>
    <w:rsid w:val="00481A30"/>
    <w:rsid w:val="00487FC8"/>
    <w:rsid w:val="004A47EB"/>
    <w:rsid w:val="004B11A8"/>
    <w:rsid w:val="004D15C5"/>
    <w:rsid w:val="004D1ED6"/>
    <w:rsid w:val="004D4767"/>
    <w:rsid w:val="004D52C8"/>
    <w:rsid w:val="004F13D9"/>
    <w:rsid w:val="004F21D2"/>
    <w:rsid w:val="004F2850"/>
    <w:rsid w:val="0050761C"/>
    <w:rsid w:val="00507B59"/>
    <w:rsid w:val="00510D1C"/>
    <w:rsid w:val="005123FF"/>
    <w:rsid w:val="00515DEB"/>
    <w:rsid w:val="005358F0"/>
    <w:rsid w:val="00551C0B"/>
    <w:rsid w:val="005532F4"/>
    <w:rsid w:val="00554472"/>
    <w:rsid w:val="00561DD9"/>
    <w:rsid w:val="005839BE"/>
    <w:rsid w:val="005A1E10"/>
    <w:rsid w:val="005A7016"/>
    <w:rsid w:val="005B1F7F"/>
    <w:rsid w:val="005B201C"/>
    <w:rsid w:val="005B2A53"/>
    <w:rsid w:val="005C2241"/>
    <w:rsid w:val="005C6B6E"/>
    <w:rsid w:val="005D650B"/>
    <w:rsid w:val="005E06F2"/>
    <w:rsid w:val="005E7DED"/>
    <w:rsid w:val="005F24B5"/>
    <w:rsid w:val="00602BCB"/>
    <w:rsid w:val="00607CA4"/>
    <w:rsid w:val="006146BF"/>
    <w:rsid w:val="00620F12"/>
    <w:rsid w:val="006236E8"/>
    <w:rsid w:val="006246FF"/>
    <w:rsid w:val="006251BE"/>
    <w:rsid w:val="00637BBA"/>
    <w:rsid w:val="00644419"/>
    <w:rsid w:val="00674E92"/>
    <w:rsid w:val="0067514A"/>
    <w:rsid w:val="006802FB"/>
    <w:rsid w:val="006832F6"/>
    <w:rsid w:val="00685168"/>
    <w:rsid w:val="006B4590"/>
    <w:rsid w:val="006C44D4"/>
    <w:rsid w:val="006C6CC2"/>
    <w:rsid w:val="006C77BC"/>
    <w:rsid w:val="006D3AF5"/>
    <w:rsid w:val="006E2408"/>
    <w:rsid w:val="006F5DF1"/>
    <w:rsid w:val="00700B9A"/>
    <w:rsid w:val="00702C0B"/>
    <w:rsid w:val="007068BE"/>
    <w:rsid w:val="007116A7"/>
    <w:rsid w:val="0072578F"/>
    <w:rsid w:val="00743914"/>
    <w:rsid w:val="0075709E"/>
    <w:rsid w:val="00762D83"/>
    <w:rsid w:val="0076519F"/>
    <w:rsid w:val="007678C3"/>
    <w:rsid w:val="00770068"/>
    <w:rsid w:val="00774AE3"/>
    <w:rsid w:val="00776795"/>
    <w:rsid w:val="00784B97"/>
    <w:rsid w:val="00795696"/>
    <w:rsid w:val="007A6CA8"/>
    <w:rsid w:val="007B2B4E"/>
    <w:rsid w:val="007B4141"/>
    <w:rsid w:val="007B6829"/>
    <w:rsid w:val="007C0AE1"/>
    <w:rsid w:val="007C67D0"/>
    <w:rsid w:val="007D061A"/>
    <w:rsid w:val="007D78C8"/>
    <w:rsid w:val="007E1EC4"/>
    <w:rsid w:val="007E3C38"/>
    <w:rsid w:val="007F0612"/>
    <w:rsid w:val="00817653"/>
    <w:rsid w:val="0083516B"/>
    <w:rsid w:val="008460C8"/>
    <w:rsid w:val="008523BC"/>
    <w:rsid w:val="00855F3E"/>
    <w:rsid w:val="0086244C"/>
    <w:rsid w:val="008634A4"/>
    <w:rsid w:val="00864DD4"/>
    <w:rsid w:val="00894419"/>
    <w:rsid w:val="00894523"/>
    <w:rsid w:val="00897322"/>
    <w:rsid w:val="008B3B44"/>
    <w:rsid w:val="008B5FE1"/>
    <w:rsid w:val="008C05E2"/>
    <w:rsid w:val="008C2756"/>
    <w:rsid w:val="008D3CAB"/>
    <w:rsid w:val="008E2607"/>
    <w:rsid w:val="008E4CED"/>
    <w:rsid w:val="008F2D9F"/>
    <w:rsid w:val="00900974"/>
    <w:rsid w:val="00903BD4"/>
    <w:rsid w:val="00906E15"/>
    <w:rsid w:val="00923ACA"/>
    <w:rsid w:val="009246B8"/>
    <w:rsid w:val="00962246"/>
    <w:rsid w:val="00966254"/>
    <w:rsid w:val="00982EB4"/>
    <w:rsid w:val="00992580"/>
    <w:rsid w:val="0099660E"/>
    <w:rsid w:val="00996826"/>
    <w:rsid w:val="009B4875"/>
    <w:rsid w:val="009C0E1B"/>
    <w:rsid w:val="009C4100"/>
    <w:rsid w:val="009C4DD3"/>
    <w:rsid w:val="009C63DD"/>
    <w:rsid w:val="009D61D2"/>
    <w:rsid w:val="009E0B83"/>
    <w:rsid w:val="009E6DED"/>
    <w:rsid w:val="009F47B9"/>
    <w:rsid w:val="00A03B6D"/>
    <w:rsid w:val="00A06811"/>
    <w:rsid w:val="00A12BB9"/>
    <w:rsid w:val="00A158DA"/>
    <w:rsid w:val="00A258FF"/>
    <w:rsid w:val="00A31D6C"/>
    <w:rsid w:val="00A3576A"/>
    <w:rsid w:val="00A46677"/>
    <w:rsid w:val="00A524D9"/>
    <w:rsid w:val="00A655F6"/>
    <w:rsid w:val="00A67368"/>
    <w:rsid w:val="00A707A5"/>
    <w:rsid w:val="00A71736"/>
    <w:rsid w:val="00A71D84"/>
    <w:rsid w:val="00A76503"/>
    <w:rsid w:val="00A9194C"/>
    <w:rsid w:val="00A977C7"/>
    <w:rsid w:val="00AA2D30"/>
    <w:rsid w:val="00AA39A5"/>
    <w:rsid w:val="00AB4DCD"/>
    <w:rsid w:val="00AC2F00"/>
    <w:rsid w:val="00AD74FA"/>
    <w:rsid w:val="00AE2965"/>
    <w:rsid w:val="00AE3FEF"/>
    <w:rsid w:val="00AF6AED"/>
    <w:rsid w:val="00B24041"/>
    <w:rsid w:val="00B262E9"/>
    <w:rsid w:val="00B32789"/>
    <w:rsid w:val="00B32BD3"/>
    <w:rsid w:val="00B43115"/>
    <w:rsid w:val="00B6300E"/>
    <w:rsid w:val="00B645A4"/>
    <w:rsid w:val="00B70EB9"/>
    <w:rsid w:val="00B75D8A"/>
    <w:rsid w:val="00B9281B"/>
    <w:rsid w:val="00BB5E8B"/>
    <w:rsid w:val="00BB7267"/>
    <w:rsid w:val="00BC1966"/>
    <w:rsid w:val="00BC2AB3"/>
    <w:rsid w:val="00BD31EC"/>
    <w:rsid w:val="00BE058D"/>
    <w:rsid w:val="00BE3A40"/>
    <w:rsid w:val="00BE6D54"/>
    <w:rsid w:val="00BF34AA"/>
    <w:rsid w:val="00C110E2"/>
    <w:rsid w:val="00C14C4B"/>
    <w:rsid w:val="00C245B4"/>
    <w:rsid w:val="00C27F0A"/>
    <w:rsid w:val="00C33DAA"/>
    <w:rsid w:val="00C35274"/>
    <w:rsid w:val="00C53C84"/>
    <w:rsid w:val="00C54322"/>
    <w:rsid w:val="00C575E6"/>
    <w:rsid w:val="00C600C1"/>
    <w:rsid w:val="00C612AE"/>
    <w:rsid w:val="00C6139E"/>
    <w:rsid w:val="00C619F1"/>
    <w:rsid w:val="00C62C3C"/>
    <w:rsid w:val="00C952FE"/>
    <w:rsid w:val="00CA2F56"/>
    <w:rsid w:val="00CB3234"/>
    <w:rsid w:val="00CD6A41"/>
    <w:rsid w:val="00D0537E"/>
    <w:rsid w:val="00D12483"/>
    <w:rsid w:val="00D15502"/>
    <w:rsid w:val="00D216E8"/>
    <w:rsid w:val="00D244A2"/>
    <w:rsid w:val="00D24D68"/>
    <w:rsid w:val="00D31455"/>
    <w:rsid w:val="00D35D69"/>
    <w:rsid w:val="00D4013F"/>
    <w:rsid w:val="00D46120"/>
    <w:rsid w:val="00D46D06"/>
    <w:rsid w:val="00D713D5"/>
    <w:rsid w:val="00D73321"/>
    <w:rsid w:val="00D95F84"/>
    <w:rsid w:val="00DA63B8"/>
    <w:rsid w:val="00DA790B"/>
    <w:rsid w:val="00DA7984"/>
    <w:rsid w:val="00DB4F77"/>
    <w:rsid w:val="00DC2FFF"/>
    <w:rsid w:val="00DC7223"/>
    <w:rsid w:val="00DF206D"/>
    <w:rsid w:val="00DF23CD"/>
    <w:rsid w:val="00DF7FA9"/>
    <w:rsid w:val="00E17C6D"/>
    <w:rsid w:val="00E25CEA"/>
    <w:rsid w:val="00E278B8"/>
    <w:rsid w:val="00E333D7"/>
    <w:rsid w:val="00E3490B"/>
    <w:rsid w:val="00E6018F"/>
    <w:rsid w:val="00E71821"/>
    <w:rsid w:val="00E772CA"/>
    <w:rsid w:val="00E9296A"/>
    <w:rsid w:val="00E9308E"/>
    <w:rsid w:val="00E954F9"/>
    <w:rsid w:val="00E976C3"/>
    <w:rsid w:val="00EA3054"/>
    <w:rsid w:val="00EA57F9"/>
    <w:rsid w:val="00EA7A7A"/>
    <w:rsid w:val="00EA7B81"/>
    <w:rsid w:val="00EC1D10"/>
    <w:rsid w:val="00EC35DB"/>
    <w:rsid w:val="00EC5B3A"/>
    <w:rsid w:val="00EC623B"/>
    <w:rsid w:val="00EC720A"/>
    <w:rsid w:val="00EC7AE6"/>
    <w:rsid w:val="00ED0F7D"/>
    <w:rsid w:val="00ED532F"/>
    <w:rsid w:val="00EE7CAA"/>
    <w:rsid w:val="00EF6C3B"/>
    <w:rsid w:val="00F13BE9"/>
    <w:rsid w:val="00F15914"/>
    <w:rsid w:val="00F16440"/>
    <w:rsid w:val="00F27D54"/>
    <w:rsid w:val="00F35880"/>
    <w:rsid w:val="00F45BAB"/>
    <w:rsid w:val="00F4737D"/>
    <w:rsid w:val="00F61313"/>
    <w:rsid w:val="00F64D7B"/>
    <w:rsid w:val="00F75134"/>
    <w:rsid w:val="00F75C7D"/>
    <w:rsid w:val="00F87B08"/>
    <w:rsid w:val="00F92935"/>
    <w:rsid w:val="00FA4604"/>
    <w:rsid w:val="00FA764D"/>
    <w:rsid w:val="00FA7C3F"/>
    <w:rsid w:val="00FB1F02"/>
    <w:rsid w:val="00FB5C03"/>
    <w:rsid w:val="00FC143F"/>
    <w:rsid w:val="00FE2FD1"/>
    <w:rsid w:val="00FE59F1"/>
    <w:rsid w:val="00FF43B4"/>
    <w:rsid w:val="00FF6B33"/>
    <w:rsid w:val="00FF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B33"/>
    <w:pPr>
      <w:spacing w:after="0"/>
    </w:pPr>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ageII">
    <w:name w:val="Stage II"/>
    <w:uiPriority w:val="99"/>
    <w:rsid w:val="00FF6B33"/>
    <w:pPr>
      <w:numPr>
        <w:numId w:val="1"/>
      </w:numPr>
    </w:pPr>
  </w:style>
  <w:style w:type="paragraph" w:styleId="ListParagraph">
    <w:name w:val="List Paragraph"/>
    <w:basedOn w:val="Normal"/>
    <w:uiPriority w:val="34"/>
    <w:qFormat/>
    <w:rsid w:val="002B0B80"/>
    <w:pPr>
      <w:ind w:left="720"/>
      <w:contextualSpacing/>
    </w:pPr>
  </w:style>
  <w:style w:type="paragraph" w:styleId="Header">
    <w:name w:val="header"/>
    <w:basedOn w:val="Normal"/>
    <w:link w:val="HeaderChar"/>
    <w:uiPriority w:val="99"/>
    <w:unhideWhenUsed/>
    <w:rsid w:val="00220F97"/>
    <w:pPr>
      <w:tabs>
        <w:tab w:val="center" w:pos="4680"/>
        <w:tab w:val="right" w:pos="9360"/>
      </w:tabs>
      <w:spacing w:line="240" w:lineRule="auto"/>
    </w:pPr>
  </w:style>
  <w:style w:type="character" w:customStyle="1" w:styleId="HeaderChar">
    <w:name w:val="Header Char"/>
    <w:basedOn w:val="DefaultParagraphFont"/>
    <w:link w:val="Header"/>
    <w:uiPriority w:val="99"/>
    <w:rsid w:val="00220F97"/>
    <w:rPr>
      <w:rFonts w:ascii="Times New Roman" w:hAnsi="Times New Roman"/>
      <w:color w:val="000000" w:themeColor="text1"/>
      <w:sz w:val="24"/>
    </w:rPr>
  </w:style>
  <w:style w:type="paragraph" w:styleId="Footer">
    <w:name w:val="footer"/>
    <w:basedOn w:val="Normal"/>
    <w:link w:val="FooterChar"/>
    <w:uiPriority w:val="99"/>
    <w:unhideWhenUsed/>
    <w:rsid w:val="00220F97"/>
    <w:pPr>
      <w:tabs>
        <w:tab w:val="center" w:pos="4680"/>
        <w:tab w:val="right" w:pos="9360"/>
      </w:tabs>
      <w:spacing w:line="240" w:lineRule="auto"/>
    </w:pPr>
  </w:style>
  <w:style w:type="character" w:customStyle="1" w:styleId="FooterChar">
    <w:name w:val="Footer Char"/>
    <w:basedOn w:val="DefaultParagraphFont"/>
    <w:link w:val="Footer"/>
    <w:uiPriority w:val="99"/>
    <w:rsid w:val="00220F97"/>
    <w:rPr>
      <w:rFonts w:ascii="Times New Roman" w:hAnsi="Times New Roman"/>
      <w:color w:val="000000" w:themeColor="text1"/>
      <w:sz w:val="24"/>
    </w:rPr>
  </w:style>
  <w:style w:type="character" w:styleId="Hyperlink">
    <w:name w:val="Hyperlink"/>
    <w:basedOn w:val="DefaultParagraphFont"/>
    <w:uiPriority w:val="99"/>
    <w:unhideWhenUsed/>
    <w:rsid w:val="0086244C"/>
    <w:rPr>
      <w:color w:val="0000FF" w:themeColor="hyperlink"/>
      <w:u w:val="single"/>
    </w:rPr>
  </w:style>
  <w:style w:type="table" w:styleId="TableGrid">
    <w:name w:val="Table Grid"/>
    <w:basedOn w:val="TableNormal"/>
    <w:uiPriority w:val="59"/>
    <w:rsid w:val="00287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0F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FC6"/>
    <w:rPr>
      <w:rFonts w:ascii="Tahoma" w:hAnsi="Tahoma" w:cs="Tahoma"/>
      <w:color w:val="000000" w:themeColor="text1"/>
      <w:sz w:val="16"/>
      <w:szCs w:val="16"/>
    </w:rPr>
  </w:style>
  <w:style w:type="table" w:styleId="LightShading-Accent2">
    <w:name w:val="Light Shading Accent 2"/>
    <w:basedOn w:val="TableNormal"/>
    <w:uiPriority w:val="60"/>
    <w:rsid w:val="0055447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9B48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1"/>
    <w:qFormat/>
    <w:rsid w:val="00F13BE9"/>
    <w:pPr>
      <w:widowControl w:val="0"/>
      <w:spacing w:line="240" w:lineRule="auto"/>
      <w:ind w:left="100"/>
    </w:pPr>
    <w:rPr>
      <w:rFonts w:ascii="Courier New" w:eastAsia="Courier New" w:hAnsi="Courier New"/>
      <w:color w:val="auto"/>
      <w:szCs w:val="24"/>
    </w:rPr>
  </w:style>
  <w:style w:type="character" w:customStyle="1" w:styleId="BodyTextChar">
    <w:name w:val="Body Text Char"/>
    <w:basedOn w:val="DefaultParagraphFont"/>
    <w:link w:val="BodyText"/>
    <w:uiPriority w:val="1"/>
    <w:rsid w:val="00F13BE9"/>
    <w:rPr>
      <w:rFonts w:ascii="Courier New" w:eastAsia="Courier New" w:hAnsi="Courier New"/>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B33"/>
    <w:pPr>
      <w:spacing w:after="0"/>
    </w:pPr>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ageII">
    <w:name w:val="Stage II"/>
    <w:uiPriority w:val="99"/>
    <w:rsid w:val="00FF6B33"/>
    <w:pPr>
      <w:numPr>
        <w:numId w:val="1"/>
      </w:numPr>
    </w:pPr>
  </w:style>
  <w:style w:type="paragraph" w:styleId="ListParagraph">
    <w:name w:val="List Paragraph"/>
    <w:basedOn w:val="Normal"/>
    <w:uiPriority w:val="34"/>
    <w:qFormat/>
    <w:rsid w:val="002B0B80"/>
    <w:pPr>
      <w:ind w:left="720"/>
      <w:contextualSpacing/>
    </w:pPr>
  </w:style>
  <w:style w:type="paragraph" w:styleId="Header">
    <w:name w:val="header"/>
    <w:basedOn w:val="Normal"/>
    <w:link w:val="HeaderChar"/>
    <w:uiPriority w:val="99"/>
    <w:unhideWhenUsed/>
    <w:rsid w:val="00220F97"/>
    <w:pPr>
      <w:tabs>
        <w:tab w:val="center" w:pos="4680"/>
        <w:tab w:val="right" w:pos="9360"/>
      </w:tabs>
      <w:spacing w:line="240" w:lineRule="auto"/>
    </w:pPr>
  </w:style>
  <w:style w:type="character" w:customStyle="1" w:styleId="HeaderChar">
    <w:name w:val="Header Char"/>
    <w:basedOn w:val="DefaultParagraphFont"/>
    <w:link w:val="Header"/>
    <w:uiPriority w:val="99"/>
    <w:rsid w:val="00220F97"/>
    <w:rPr>
      <w:rFonts w:ascii="Times New Roman" w:hAnsi="Times New Roman"/>
      <w:color w:val="000000" w:themeColor="text1"/>
      <w:sz w:val="24"/>
    </w:rPr>
  </w:style>
  <w:style w:type="paragraph" w:styleId="Footer">
    <w:name w:val="footer"/>
    <w:basedOn w:val="Normal"/>
    <w:link w:val="FooterChar"/>
    <w:uiPriority w:val="99"/>
    <w:unhideWhenUsed/>
    <w:rsid w:val="00220F97"/>
    <w:pPr>
      <w:tabs>
        <w:tab w:val="center" w:pos="4680"/>
        <w:tab w:val="right" w:pos="9360"/>
      </w:tabs>
      <w:spacing w:line="240" w:lineRule="auto"/>
    </w:pPr>
  </w:style>
  <w:style w:type="character" w:customStyle="1" w:styleId="FooterChar">
    <w:name w:val="Footer Char"/>
    <w:basedOn w:val="DefaultParagraphFont"/>
    <w:link w:val="Footer"/>
    <w:uiPriority w:val="99"/>
    <w:rsid w:val="00220F97"/>
    <w:rPr>
      <w:rFonts w:ascii="Times New Roman" w:hAnsi="Times New Roman"/>
      <w:color w:val="000000" w:themeColor="text1"/>
      <w:sz w:val="24"/>
    </w:rPr>
  </w:style>
  <w:style w:type="character" w:styleId="Hyperlink">
    <w:name w:val="Hyperlink"/>
    <w:basedOn w:val="DefaultParagraphFont"/>
    <w:uiPriority w:val="99"/>
    <w:unhideWhenUsed/>
    <w:rsid w:val="0086244C"/>
    <w:rPr>
      <w:color w:val="0000FF" w:themeColor="hyperlink"/>
      <w:u w:val="single"/>
    </w:rPr>
  </w:style>
  <w:style w:type="table" w:styleId="TableGrid">
    <w:name w:val="Table Grid"/>
    <w:basedOn w:val="TableNormal"/>
    <w:uiPriority w:val="59"/>
    <w:rsid w:val="00287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0F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FC6"/>
    <w:rPr>
      <w:rFonts w:ascii="Tahoma" w:hAnsi="Tahoma" w:cs="Tahoma"/>
      <w:color w:val="000000" w:themeColor="text1"/>
      <w:sz w:val="16"/>
      <w:szCs w:val="16"/>
    </w:rPr>
  </w:style>
  <w:style w:type="table" w:styleId="LightShading-Accent2">
    <w:name w:val="Light Shading Accent 2"/>
    <w:basedOn w:val="TableNormal"/>
    <w:uiPriority w:val="60"/>
    <w:rsid w:val="0055447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9B48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1"/>
    <w:qFormat/>
    <w:rsid w:val="00F13BE9"/>
    <w:pPr>
      <w:widowControl w:val="0"/>
      <w:spacing w:line="240" w:lineRule="auto"/>
      <w:ind w:left="100"/>
    </w:pPr>
    <w:rPr>
      <w:rFonts w:ascii="Courier New" w:eastAsia="Courier New" w:hAnsi="Courier New"/>
      <w:color w:val="auto"/>
      <w:szCs w:val="24"/>
    </w:rPr>
  </w:style>
  <w:style w:type="character" w:customStyle="1" w:styleId="BodyTextChar">
    <w:name w:val="Body Text Char"/>
    <w:basedOn w:val="DefaultParagraphFont"/>
    <w:link w:val="BodyText"/>
    <w:uiPriority w:val="1"/>
    <w:rsid w:val="00F13BE9"/>
    <w:rPr>
      <w:rFonts w:ascii="Courier New" w:eastAsia="Courier New" w:hAnsi="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07189">
      <w:bodyDiv w:val="1"/>
      <w:marLeft w:val="0"/>
      <w:marRight w:val="0"/>
      <w:marTop w:val="0"/>
      <w:marBottom w:val="0"/>
      <w:divBdr>
        <w:top w:val="none" w:sz="0" w:space="0" w:color="auto"/>
        <w:left w:val="none" w:sz="0" w:space="0" w:color="auto"/>
        <w:bottom w:val="none" w:sz="0" w:space="0" w:color="auto"/>
        <w:right w:val="none" w:sz="0" w:space="0" w:color="auto"/>
      </w:divBdr>
    </w:div>
    <w:div w:id="811950324">
      <w:bodyDiv w:val="1"/>
      <w:marLeft w:val="0"/>
      <w:marRight w:val="0"/>
      <w:marTop w:val="0"/>
      <w:marBottom w:val="0"/>
      <w:divBdr>
        <w:top w:val="none" w:sz="0" w:space="0" w:color="auto"/>
        <w:left w:val="none" w:sz="0" w:space="0" w:color="auto"/>
        <w:bottom w:val="none" w:sz="0" w:space="0" w:color="auto"/>
        <w:right w:val="none" w:sz="0" w:space="0" w:color="auto"/>
      </w:divBdr>
    </w:div>
    <w:div w:id="916209606">
      <w:bodyDiv w:val="1"/>
      <w:marLeft w:val="0"/>
      <w:marRight w:val="0"/>
      <w:marTop w:val="0"/>
      <w:marBottom w:val="0"/>
      <w:divBdr>
        <w:top w:val="none" w:sz="0" w:space="0" w:color="auto"/>
        <w:left w:val="none" w:sz="0" w:space="0" w:color="auto"/>
        <w:bottom w:val="none" w:sz="0" w:space="0" w:color="auto"/>
        <w:right w:val="none" w:sz="0" w:space="0" w:color="auto"/>
      </w:divBdr>
    </w:div>
    <w:div w:id="130554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rtacegufeedback@gmail.com" TargetMode="External"/><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www.energy.ca.gov/sitingcases/all_projec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E4338-DB4E-4D6C-9AE8-74B6EE9EF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20</Pages>
  <Words>5581</Words>
  <Characters>31817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37324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McLeod</dc:creator>
  <cp:lastModifiedBy>Doris McLeod</cp:lastModifiedBy>
  <cp:revision>8</cp:revision>
  <cp:lastPrinted>2015-08-04T14:22:00Z</cp:lastPrinted>
  <dcterms:created xsi:type="dcterms:W3CDTF">2017-01-25T15:34:00Z</dcterms:created>
  <dcterms:modified xsi:type="dcterms:W3CDTF">2017-01-25T19:54:00Z</dcterms:modified>
</cp:coreProperties>
</file>