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 Objetivos:</w:t>
      </w:r>
    </w:p>
    <w:p>
      <w:pPr/>
      <w:r>
        <w:t>El presente estudio de recopilación bibliográfica tuvo como objetivo general... analizar cómo la incorporación de la inteligencia artificial reconfigura el mercado laboral informático, con especial atención a las tareas profesionales, la demanda de empleo y las oportunidades de inserción de los perfiles junior; y como objetivos específicos... describir los cambios en las tareas y en las modalidades de trabajo del sector informático asociados con la incorporación de herramientas de inteligencia artificial; examinar qué cambios en la demanda de empleo informático atribuye la bibliografía consultada a esa incorporación; analizar las diferencias que plantean los estudios entre las oportunidades de contratación de perfiles junior y senior; identificar las herramientas de inteligencia artificial aplicadas al desarrollo de software que aparecen en las fuentes revisadas; y reconocer las habilidades técnicas, analíticas y críticas que la bibliografía señala como relevantes para adaptarse a los cambios del mercado laboral informático.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Punto 5 Objetivos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