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160"/>
        <w:jc w:val="center"/>
      </w:pPr>
      <w:r>
        <w:rPr>
          <w:rFonts w:ascii="Arial" w:cs="Arial" w:eastAsia="Arial" w:hAnsi="Arial"/>
          <w:b/>
          <w:bCs/>
          <w:color w:val="1F3A5F"/>
          <w:sz w:val="56"/>
          <w:szCs w:val="56"/>
        </w:rPr>
        <w:t xml:space="preserve">Car Price Prediction Using Regularized Regression</w:t>
      </w:r>
    </w:p>
    <w:p>
      <w:pPr>
        <w:spacing w:after="120"/>
        <w:jc w:val="center"/>
      </w:pPr>
      <w:r>
        <w:rPr>
          <w:rFonts w:ascii="Arial" w:cs="Arial" w:eastAsia="Arial" w:hAnsi="Arial"/>
          <w:color w:val="127C71"/>
          <w:sz w:val="36"/>
          <w:szCs w:val="36"/>
        </w:rPr>
        <w:t xml:space="preserve">Applying Ridge, Lasso, and ElasticNet Models</w:t>
      </w:r>
    </w:p>
    <w:p>
      <w:pPr>
        <w:pBdr>
          <w:bottom w:val="single" w:color="D9762B" w:sz="12"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Author</w:t>
            </w:r>
          </w:p>
        </w:tc>
        <w:tc>
          <w:tcPr>
            <w:tcW w:type="dxa" w:w="55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MBulah</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Assignment Title</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RR Car Price Prediction</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Dataset</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CarPrice_Assignment.csv</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Records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 rows x 26 attributes</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Target Variable</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price (USD)</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Date</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June 2026</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GitHub Repository</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https://github.com/bulah16/C4-Project.git</w:t>
            </w:r>
          </w:p>
        </w:tc>
      </w:tr>
    </w:tbl>
    <w:p/>
    <w:p/>
    <w:p>
      <w:pPr>
        <w:pBdr>
          <w:bottom w:val="single" w:color="D9762B" w:sz="12" w:space="1"/>
        </w:pBdr>
        <w:spacing w:after="240"/>
      </w:pPr>
    </w:p>
    <w:p>
      <w:pPr>
        <w:pStyle w:val="Heading2"/>
        <w:spacing w:after="80" w:before="220"/>
      </w:pPr>
      <w:r>
        <w:rPr>
          <w:rFonts w:ascii="Arial" w:cs="Arial" w:eastAsia="Arial" w:hAnsi="Arial"/>
          <w:b/>
          <w:bCs/>
          <w:color w:val="127C71"/>
          <w:sz w:val="28"/>
          <w:szCs w:val="28"/>
        </w:rPr>
        <w:t xml:space="preserve">Project Goal</w:t>
      </w:r>
    </w:p>
    <w:p>
      <w:pPr>
        <w:spacing w:after="120" w:line="280"/>
        <w:jc w:val="both"/>
      </w:pPr>
      <w:r>
        <w:rPr>
          <w:rFonts w:ascii="Arial" w:cs="Arial" w:eastAsia="Arial" w:hAnsi="Arial"/>
          <w:sz w:val="22"/>
          <w:szCs w:val="22"/>
        </w:rPr>
        <w:t xml:space="preserve">Geely Auto, a Chinese automotive manufacturer, is planning its entry into the US automobile market and wants to understand which vehicle characteristics most strongly influence pricing in that market. This report develops and compares four regression approaches — ordinary Linear Regression, Ridge (L2), Lasso (L1), and ElasticNet — to model car price as a function of design, performance, and brand attributes, and to identify the variables that matter most for pricing strategy.</w:t>
      </w:r>
    </w:p>
    <w:p>
      <w:r>
        <w:br w:type="page"/>
      </w:r>
    </w:p>
    <w:p>
      <w:pPr>
        <w:pStyle w:val="Heading1"/>
        <w:spacing w:after="120" w:before="320"/>
      </w:pPr>
      <w:r>
        <w:rPr>
          <w:rFonts w:ascii="Arial" w:cs="Arial" w:eastAsia="Arial" w:hAnsi="Arial"/>
          <w:b/>
          <w:bCs/>
          <w:color w:val="1F3A5F"/>
          <w:sz w:val="34"/>
          <w:szCs w:val="34"/>
        </w:rPr>
        <w:t xml:space="preserve">Table of Contents</w:t>
      </w:r>
    </w:p>
    <w:p>
      <w:pPr>
        <w:pBdr>
          <w:bottom w:val="single" w:color="127C71" w:sz="8" w:space="1"/>
        </w:pBd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26"/>
        <w:gridCol w:w="1500"/>
      </w:tblGrid>
      <w:tr>
        <w:trPr>
          <w:tblHeader/>
        </w:trPr>
        <w:tc>
          <w:tcPr>
            <w:tcW w:type="dxa" w:w="75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Section</w:t>
            </w:r>
          </w:p>
        </w:tc>
        <w:tc>
          <w:tcPr>
            <w:tcW w:type="dxa" w:w="1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Page</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  Library Imports and Data Loading</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  Exploratory Data Analysis (EDA)</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2.1  Initial Data Inspection</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2.2  Examining the Price Variable</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2.3  Deriving the Car Manufacturer Column</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2.4  Categorical Attributes vs Price</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2.5  Numerical Feature Correlations</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2.6  Identifying Outliers in Key Features</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  Data Preprocessing</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3.1  Encoding Categorical Variables</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3.2  Data Splitting and Standardization</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  Multicollinearity Diagnosis (VIF)</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9</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  Regression Model Training</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10</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5.1  Ordinary Linear Regression - Baseline</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10</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5.2  Ridge Regression (L2 Penalty)</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10</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5.3  Lasso Regression (L1 Penalty)</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11</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    5.4  ElasticNet - Combined L1 + L2 Penalty</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12</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  Model Comparison and Evaluation</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12</w:t>
            </w:r>
          </w:p>
        </w:tc>
      </w:tr>
      <w:tr>
        <w:trPr>
          <w:tblHeader w:val="false"/>
        </w:trPr>
        <w:tc>
          <w:tcPr>
            <w:tcW w:type="dxa" w:w="7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  Results, Insights, and Conclusions</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14</w:t>
            </w:r>
          </w:p>
        </w:tc>
      </w:tr>
      <w:tr>
        <w:trPr>
          <w:tblHeader w:val="false"/>
        </w:trPr>
        <w:tc>
          <w:tcPr>
            <w:tcW w:type="dxa" w:w="7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  References</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15</w:t>
            </w:r>
          </w:p>
        </w:tc>
      </w:tr>
    </w:tbl>
    <w:p>
      <w:r>
        <w:br w:type="page"/>
      </w:r>
    </w:p>
    <w:p>
      <w:pPr>
        <w:pStyle w:val="Heading1"/>
        <w:spacing w:after="120" w:before="320"/>
      </w:pPr>
      <w:r>
        <w:rPr>
          <w:rFonts w:ascii="Arial" w:cs="Arial" w:eastAsia="Arial" w:hAnsi="Arial"/>
          <w:b/>
          <w:bCs/>
          <w:color w:val="1F3A5F"/>
          <w:sz w:val="34"/>
          <w:szCs w:val="34"/>
        </w:rPr>
        <w:t xml:space="preserve">1. Library Imports and Data Loading</w:t>
      </w:r>
    </w:p>
    <w:p>
      <w:pPr>
        <w:pBdr>
          <w:bottom w:val="single" w:color="127C71" w:sz="8" w:space="1"/>
        </w:pBdr>
        <w:spacing w:after="120"/>
      </w:pPr>
    </w:p>
    <w:p>
      <w:pPr>
        <w:spacing w:after="120" w:line="280"/>
        <w:jc w:val="both"/>
      </w:pPr>
      <w:r>
        <w:rPr>
          <w:rFonts w:ascii="Arial" w:cs="Arial" w:eastAsia="Arial" w:hAnsi="Arial"/>
          <w:sz w:val="22"/>
          <w:szCs w:val="22"/>
        </w:rPr>
        <w:t xml:space="preserve">All packages required for the analysis — pandas, numpy, matplotlib, seaborn, scikit-learn, and statsmodels — were imported at the start of the notebook. The CarPrice_Assignment.csv file was then loaded into a pandas DataFrame, and an initial check confirmed the dataset dimensions and column names.</w:t>
      </w:r>
    </w:p>
    <w:p>
      <w:pPr>
        <w:spacing w:after="80" w:before="180"/>
      </w:pPr>
      <w:r>
        <w:rPr>
          <w:rFonts w:ascii="Arial" w:cs="Arial" w:eastAsia="Arial" w:hAnsi="Arial"/>
          <w:b/>
          <w:bCs/>
          <w:color w:val="1F3A5F"/>
          <w:sz w:val="22"/>
          <w:szCs w:val="22"/>
        </w:rPr>
        <w:t xml:space="preserve">Table 1: Dataset Snapshot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Property</w:t>
            </w:r>
          </w:p>
        </w:tc>
        <w:tc>
          <w:tcPr>
            <w:tcW w:type="dxa" w:w="55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Value</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Number of rows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Number of columns</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26</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Target column</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price</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Missing values (total)</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Data types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 float64, 8 int64, 10 object (string)</w:t>
            </w:r>
          </w:p>
        </w:tc>
      </w:tr>
    </w:tbl>
    <w:p/>
    <w:p>
      <w:pPr>
        <w:spacing w:after="80" w:before="180"/>
      </w:pPr>
      <w:r>
        <w:rPr>
          <w:rFonts w:ascii="Arial" w:cs="Arial" w:eastAsia="Arial" w:hAnsi="Arial"/>
          <w:b/>
          <w:bCs/>
          <w:color w:val="1F3A5F"/>
          <w:sz w:val="22"/>
          <w:szCs w:val="22"/>
        </w:rPr>
        <w:t xml:space="preserve">Table 2: Column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rPr>
          <w:tblHeader/>
        </w:trPr>
        <w:tc>
          <w:tcPr>
            <w:tcW w:type="dxa" w:w="32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Column</w:t>
            </w:r>
          </w:p>
        </w:tc>
        <w:tc>
          <w:tcPr>
            <w:tcW w:type="dxa" w:w="14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Type</w:t>
            </w:r>
          </w:p>
        </w:tc>
        <w:tc>
          <w:tcPr>
            <w:tcW w:type="dxa" w:w="44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Description</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car_ID</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Row identifier (dropped before modelling)</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symboling</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Insurance risk score, ranges from -3 to +3</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CarName</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Text</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Full make and model string</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fueltype</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gas or diesel</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aspiration</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std or turbo</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doornumber</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two or four</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carbody</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convertible, hatchback, sedan, wagon, hardtop</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drivewheel</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fwd, rwd, or 4wd</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enginelocation</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front or rear</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wheelbase, carlength, carwidth, carheight</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Float</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Body dimensions in inches</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curbweight</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Vehicle weight (lbs), excluding occupants</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enginetype</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dohc, ohc, ohcv, l, rotor, etc.</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cylindernumber</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two through twelve cylinders</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enginesize</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 displacement</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fuelsystem</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Categorical</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mpfi, 2bbl, idi, etc.</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boreratio, stroke</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Float</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Cylinder bore and piston stroke</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compressionratio</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Float</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 compression ratio</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horsepower, peakrpm</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 output and peak RPM</w:t>
            </w:r>
          </w:p>
        </w:tc>
      </w:tr>
      <w:tr>
        <w:trPr>
          <w:tblHeader w:val="false"/>
        </w:trPr>
        <w:tc>
          <w:tcPr>
            <w:tcW w:type="dxa" w:w="32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citympg, highwaympg</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Integer</w:t>
            </w:r>
          </w:p>
        </w:tc>
        <w:tc>
          <w:tcPr>
            <w:tcW w:type="dxa" w:w="4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Fuel economy figures</w:t>
            </w:r>
          </w:p>
        </w:tc>
      </w:tr>
      <w:tr>
        <w:trPr>
          <w:tblHeader w:val="false"/>
        </w:trPr>
        <w:tc>
          <w:tcPr>
            <w:tcW w:type="dxa" w:w="32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price</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Float</w:t>
            </w:r>
          </w:p>
        </w:tc>
        <w:tc>
          <w:tcPr>
            <w:tcW w:type="dxa" w:w="4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TARGET: Vehicle price in USD</w:t>
            </w:r>
          </w:p>
        </w:tc>
      </w:tr>
    </w:tbl>
    <w:p>
      <w:r>
        <w:br w:type="page"/>
      </w:r>
    </w:p>
    <w:p>
      <w:pPr>
        <w:pStyle w:val="Heading1"/>
        <w:spacing w:after="120" w:before="320"/>
      </w:pPr>
      <w:r>
        <w:rPr>
          <w:rFonts w:ascii="Arial" w:cs="Arial" w:eastAsia="Arial" w:hAnsi="Arial"/>
          <w:b/>
          <w:bCs/>
          <w:color w:val="1F3A5F"/>
          <w:sz w:val="34"/>
          <w:szCs w:val="34"/>
        </w:rPr>
        <w:t xml:space="preserve">2. Exploratory Data Analysis (EDA)</w:t>
      </w:r>
    </w:p>
    <w:p>
      <w:pPr>
        <w:pBdr>
          <w:bottom w:val="single" w:color="127C71" w:sz="8" w:space="1"/>
        </w:pBdr>
        <w:spacing w:after="120"/>
      </w:pPr>
    </w:p>
    <w:p>
      <w:pPr>
        <w:spacing w:after="120" w:line="280"/>
        <w:jc w:val="both"/>
      </w:pPr>
      <w:r>
        <w:rPr>
          <w:rFonts w:ascii="Arial" w:cs="Arial" w:eastAsia="Arial" w:hAnsi="Arial"/>
          <w:sz w:val="22"/>
          <w:szCs w:val="22"/>
        </w:rPr>
        <w:t xml:space="preserve">Before any modelling took place, the dataset was explored to understand its structure, the shape of the target variable, the influence of categorical attributes, and the relationships among numerical predictors.</w:t>
      </w:r>
    </w:p>
    <w:p>
      <w:pPr>
        <w:pStyle w:val="Heading2"/>
        <w:spacing w:after="80" w:before="220"/>
      </w:pPr>
      <w:r>
        <w:rPr>
          <w:rFonts w:ascii="Arial" w:cs="Arial" w:eastAsia="Arial" w:hAnsi="Arial"/>
          <w:b/>
          <w:bCs/>
          <w:color w:val="127C71"/>
          <w:sz w:val="28"/>
          <w:szCs w:val="28"/>
        </w:rPr>
        <w:t xml:space="preserve">2.1 Initial Data Inspection</w:t>
      </w:r>
    </w:p>
    <w:p>
      <w:pPr>
        <w:spacing w:after="120" w:line="280"/>
        <w:jc w:val="both"/>
      </w:pPr>
      <w:r>
        <w:rPr>
          <w:rFonts w:ascii="Arial" w:cs="Arial" w:eastAsia="Arial" w:hAnsi="Arial"/>
          <w:sz w:val="22"/>
          <w:szCs w:val="22"/>
        </w:rPr>
        <w:t xml:space="preserve">A call to df.info() and df.describe() confirmed that the dataset has 205 rows across 26 columns with </w:t>
      </w:r>
      <w:r>
        <w:rPr>
          <w:rFonts w:ascii="Arial" w:cs="Arial" w:eastAsia="Arial" w:hAnsi="Arial"/>
          <w:b/>
          <w:bCs/>
          <w:sz w:val="22"/>
          <w:szCs w:val="22"/>
        </w:rPr>
        <w:t xml:space="preserve">zero missing values</w:t>
      </w:r>
      <w:r>
        <w:rPr>
          <w:rFonts w:ascii="Arial" w:cs="Arial" w:eastAsia="Arial" w:hAnsi="Arial"/>
          <w:sz w:val="22"/>
          <w:szCs w:val="22"/>
        </w:rPr>
        <w:t xml:space="preserve"> in any field, so no imputation strategy was required. The table below summarises the central tendency and spread of the most important numerical fields.</w:t>
      </w:r>
    </w:p>
    <w:p>
      <w:pPr>
        <w:spacing w:after="80" w:before="180"/>
      </w:pPr>
      <w:r>
        <w:rPr>
          <w:rFonts w:ascii="Arial" w:cs="Arial" w:eastAsia="Arial" w:hAnsi="Arial"/>
          <w:b/>
          <w:bCs/>
          <w:color w:val="1F3A5F"/>
          <w:sz w:val="22"/>
          <w:szCs w:val="22"/>
        </w:rPr>
        <w:t xml:space="preserve">Table 3: Summary Statistics for Selected Numerical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1600"/>
        <w:gridCol w:w="1600"/>
        <w:gridCol w:w="1400"/>
        <w:gridCol w:w="1426"/>
      </w:tblGrid>
      <w:tr>
        <w:trPr>
          <w:tblHeader/>
        </w:trPr>
        <w:tc>
          <w:tcPr>
            <w:tcW w:type="dxa" w:w="18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Statistic</w:t>
            </w:r>
          </w:p>
        </w:tc>
        <w:tc>
          <w:tcPr>
            <w:tcW w:type="dxa" w:w="16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price</w:t>
            </w:r>
          </w:p>
        </w:tc>
        <w:tc>
          <w:tcPr>
            <w:tcW w:type="dxa" w:w="16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enginesize</w:t>
            </w:r>
          </w:p>
        </w:tc>
        <w:tc>
          <w:tcPr>
            <w:tcW w:type="dxa" w:w="16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horsepower</w:t>
            </w:r>
          </w:p>
        </w:tc>
        <w:tc>
          <w:tcPr>
            <w:tcW w:type="dxa" w:w="16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curbweight</w:t>
            </w:r>
          </w:p>
        </w:tc>
        <w:tc>
          <w:tcPr>
            <w:tcW w:type="dxa" w:w="14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citympg</w:t>
            </w:r>
          </w:p>
        </w:tc>
        <w:tc>
          <w:tcPr>
            <w:tcW w:type="dxa" w:w="14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highwaympg</w:t>
            </w:r>
          </w:p>
        </w:tc>
      </w:tr>
      <w:tr>
        <w:trPr>
          <w:tblHeader w:val="false"/>
        </w:trP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Count</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r>
      <w:tr>
        <w:trPr>
          <w:tblHeader w:val="false"/>
        </w:trPr>
        <w:tc>
          <w:tcPr>
            <w:tcW w:type="dxa" w:w="18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Mean</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13,276.71</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126.91</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104.12</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2,555.57</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25.22</w:t>
            </w:r>
          </w:p>
        </w:tc>
        <w:tc>
          <w:tcPr>
            <w:tcW w:type="dxa" w:w="1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30.75</w:t>
            </w:r>
          </w:p>
        </w:tc>
      </w:tr>
      <w:tr>
        <w:trPr>
          <w:tblHeader w:val="false"/>
        </w:trP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Std Dev</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7,988.85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41.64</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39.54</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520.68</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6.54</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6.89</w:t>
            </w:r>
          </w:p>
        </w:tc>
      </w:tr>
      <w:tr>
        <w:trPr>
          <w:tblHeader w:val="false"/>
        </w:trPr>
        <w:tc>
          <w:tcPr>
            <w:tcW w:type="dxa" w:w="18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Min</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5,118.00</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61</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48</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1,488</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13</w:t>
            </w:r>
          </w:p>
        </w:tc>
        <w:tc>
          <w:tcPr>
            <w:tcW w:type="dxa" w:w="1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16</w:t>
            </w:r>
          </w:p>
        </w:tc>
      </w:tr>
      <w:tr>
        <w:trPr>
          <w:tblHeader w:val="false"/>
        </w:trP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7,788.00</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97</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70</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2,145</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19</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25</w:t>
            </w:r>
          </w:p>
        </w:tc>
      </w:tr>
      <w:tr>
        <w:trPr>
          <w:tblHeader w:val="false"/>
        </w:trPr>
        <w:tc>
          <w:tcPr>
            <w:tcW w:type="dxa" w:w="18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Median</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10,295.00</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120</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95</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2,414</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24</w:t>
            </w:r>
          </w:p>
        </w:tc>
        <w:tc>
          <w:tcPr>
            <w:tcW w:type="dxa" w:w="1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30</w:t>
            </w:r>
          </w:p>
        </w:tc>
      </w:tr>
      <w:tr>
        <w:trPr>
          <w:tblHeader w:val="false"/>
        </w:trPr>
        <w:tc>
          <w:tcPr>
            <w:tcW w:type="dxa" w:w="18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75%</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16,503.00</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141</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116</w:t>
            </w:r>
          </w:p>
        </w:tc>
        <w:tc>
          <w:tcPr>
            <w:tcW w:type="dxa" w:w="16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2,935</w:t>
            </w:r>
          </w:p>
        </w:tc>
        <w:tc>
          <w:tcPr>
            <w:tcW w:type="dxa" w:w="14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30</w:t>
            </w:r>
          </w:p>
        </w:tc>
        <w:tc>
          <w:tcPr>
            <w:tcW w:type="dxa" w:w="14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34</w:t>
            </w:r>
          </w:p>
        </w:tc>
      </w:tr>
      <w:tr>
        <w:trPr>
          <w:tblHeader w:val="false"/>
        </w:trPr>
        <w:tc>
          <w:tcPr>
            <w:tcW w:type="dxa" w:w="18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Max</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45,400.00</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326</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288</w:t>
            </w:r>
          </w:p>
        </w:tc>
        <w:tc>
          <w:tcPr>
            <w:tcW w:type="dxa" w:w="16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4,066</w:t>
            </w:r>
          </w:p>
        </w:tc>
        <w:tc>
          <w:tcPr>
            <w:tcW w:type="dxa" w:w="14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49</w:t>
            </w:r>
          </w:p>
        </w:tc>
        <w:tc>
          <w:tcPr>
            <w:tcW w:type="dxa" w:w="14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54</w:t>
            </w:r>
          </w:p>
        </w:tc>
      </w:tr>
    </w:tbl>
    <w:p>
      <w:pPr>
        <w:pStyle w:val="Heading2"/>
        <w:spacing w:after="80" w:before="220"/>
      </w:pPr>
      <w:r>
        <w:rPr>
          <w:rFonts w:ascii="Arial" w:cs="Arial" w:eastAsia="Arial" w:hAnsi="Arial"/>
          <w:b/>
          <w:bCs/>
          <w:color w:val="127C71"/>
          <w:sz w:val="28"/>
          <w:szCs w:val="28"/>
        </w:rPr>
        <w:t xml:space="preserve">2.2 Examining the Price Variable</w:t>
      </w:r>
    </w:p>
    <w:p>
      <w:pPr>
        <w:spacing w:after="120" w:line="280"/>
        <w:jc w:val="both"/>
      </w:pPr>
      <w:r>
        <w:rPr>
          <w:rFonts w:ascii="Arial" w:cs="Arial" w:eastAsia="Arial" w:hAnsi="Arial"/>
          <w:sz w:val="22"/>
          <w:szCs w:val="22"/>
        </w:rPr>
        <w:t xml:space="preserve">The target variable price spans from $5,118 to $45,400, with a mean of $13,276.71 and a median of $10,295.00. Because the mean sits well above the median, the distribution leans toward lower prices with a long tail of premium vehicles; the computed skewness of approximately </w:t>
      </w:r>
      <w:r>
        <w:rPr>
          <w:rFonts w:ascii="Arial" w:cs="Arial" w:eastAsia="Arial" w:hAnsi="Arial"/>
          <w:b/>
          <w:bCs/>
          <w:sz w:val="22"/>
          <w:szCs w:val="22"/>
        </w:rPr>
        <w:t xml:space="preserve">1.78</w:t>
      </w:r>
      <w:r>
        <w:rPr>
          <w:rFonts w:ascii="Arial" w:cs="Arial" w:eastAsia="Arial" w:hAnsi="Arial"/>
          <w:sz w:val="22"/>
          <w:szCs w:val="22"/>
        </w:rPr>
        <w:t xml:space="preserve"> confirms this positive skew. A log1p transformation was visualised alongside the raw distribution to illustrate how the skew is reduced on a logarithmic scale.</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1: Raw and log-transformed distributions of car price</w:t>
      </w:r>
    </w:p>
    <w:p>
      <w:r>
        <w:br w:type="page"/>
      </w:r>
    </w:p>
    <w:p>
      <w:pPr>
        <w:pStyle w:val="Heading2"/>
        <w:spacing w:after="80" w:before="220"/>
      </w:pPr>
      <w:r>
        <w:rPr>
          <w:rFonts w:ascii="Arial" w:cs="Arial" w:eastAsia="Arial" w:hAnsi="Arial"/>
          <w:b/>
          <w:bCs/>
          <w:color w:val="127C71"/>
          <w:sz w:val="28"/>
          <w:szCs w:val="28"/>
        </w:rPr>
        <w:t xml:space="preserve">2.3 Deriving the Car Manufacturer Column</w:t>
      </w:r>
    </w:p>
    <w:p>
      <w:pPr>
        <w:spacing w:after="120" w:line="280"/>
        <w:jc w:val="both"/>
      </w:pPr>
      <w:r>
        <w:rPr>
          <w:rFonts w:ascii="Arial" w:cs="Arial" w:eastAsia="Arial" w:hAnsi="Arial"/>
          <w:sz w:val="22"/>
          <w:szCs w:val="22"/>
        </w:rPr>
        <w:t xml:space="preserve">The CarName field combines the manufacturer and model into a single string (e.g. "alfa-romero giulia"). A new carcompany column was derived by taking the first token of CarName and lower-casing it. Several entries contained spelling inconsistencies — maxda, toyouta, vokswagen, vw, porcshce, and alfa-romero — which were corrected to mazda, toyota, volkswagen, volkswagen, porsche, and alfa-romeo respectively via a lookup dictionary. The cleaned column yields </w:t>
      </w:r>
      <w:r>
        <w:rPr>
          <w:rFonts w:ascii="Arial" w:cs="Arial" w:eastAsia="Arial" w:hAnsi="Arial"/>
          <w:b/>
          <w:bCs/>
          <w:sz w:val="22"/>
          <w:szCs w:val="22"/>
        </w:rPr>
        <w:t xml:space="preserve">22 distinct manufacturers</w:t>
      </w:r>
      <w:r>
        <w:rPr>
          <w:rFonts w:ascii="Arial" w:cs="Arial" w:eastAsia="Arial" w:hAnsi="Arial"/>
          <w:sz w:val="22"/>
          <w:szCs w:val="22"/>
        </w:rPr>
        <w:t xml:space="preserve">, with Toyota (32), Nissan (18), and Mazda (17) contributing the most records.</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2: Count of vehicles listed per manufacturer</w:t>
      </w:r>
    </w:p>
    <w:p>
      <w:pPr>
        <w:pStyle w:val="Heading2"/>
        <w:spacing w:after="80" w:before="220"/>
      </w:pPr>
      <w:r>
        <w:rPr>
          <w:rFonts w:ascii="Arial" w:cs="Arial" w:eastAsia="Arial" w:hAnsi="Arial"/>
          <w:b/>
          <w:bCs/>
          <w:color w:val="127C71"/>
          <w:sz w:val="28"/>
          <w:szCs w:val="28"/>
        </w:rPr>
        <w:t xml:space="preserve">2.4 Categorical Attributes vs Price</w:t>
      </w:r>
    </w:p>
    <w:p>
      <w:pPr>
        <w:spacing w:after="120" w:line="280"/>
        <w:jc w:val="both"/>
      </w:pPr>
      <w:r>
        <w:rPr>
          <w:rFonts w:ascii="Arial" w:cs="Arial" w:eastAsia="Arial" w:hAnsi="Arial"/>
          <w:sz w:val="22"/>
          <w:szCs w:val="22"/>
        </w:rPr>
        <w:t xml:space="preserve">For each of six categorical columns — fueltype, aspiration, doornumber, carbody, drivewheel, and enginelocation — the mean price was computed per category and plotted. The charts surface several patterns useful for downstream interpretation:</w:t>
      </w:r>
    </w:p>
    <w:p>
      <w:pPr>
        <w:pStyle w:val="ListParagraph"/>
        <w:numPr>
          <w:ilvl w:val="0"/>
          <w:numId w:val="2"/>
        </w:numPr>
        <w:spacing w:after="80"/>
      </w:pPr>
      <w:r>
        <w:rPr>
          <w:rFonts w:ascii="Arial" w:cs="Arial" w:eastAsia="Arial" w:hAnsi="Arial"/>
          <w:b/>
          <w:bCs/>
          <w:sz w:val="22"/>
          <w:szCs w:val="22"/>
        </w:rPr>
        <w:t xml:space="preserve">Fuel type:</w:t>
      </w:r>
      <w:r>
        <w:rPr>
          <w:rFonts w:ascii="Arial" w:cs="Arial" w:eastAsia="Arial" w:hAnsi="Arial"/>
          <w:sz w:val="22"/>
          <w:szCs w:val="22"/>
        </w:rPr>
        <w:t xml:space="preserve"> diesel-powered vehicles average a higher price than gas-powered ones.</w:t>
      </w:r>
    </w:p>
    <w:p>
      <w:pPr>
        <w:pStyle w:val="ListParagraph"/>
        <w:numPr>
          <w:ilvl w:val="0"/>
          <w:numId w:val="2"/>
        </w:numPr>
        <w:spacing w:after="80"/>
      </w:pPr>
      <w:r>
        <w:rPr>
          <w:rFonts w:ascii="Arial" w:cs="Arial" w:eastAsia="Arial" w:hAnsi="Arial"/>
          <w:b/>
          <w:bCs/>
          <w:sz w:val="22"/>
          <w:szCs w:val="22"/>
        </w:rPr>
        <w:t xml:space="preserve">Aspiration:</w:t>
      </w:r>
      <w:r>
        <w:rPr>
          <w:rFonts w:ascii="Arial" w:cs="Arial" w:eastAsia="Arial" w:hAnsi="Arial"/>
          <w:sz w:val="22"/>
          <w:szCs w:val="22"/>
        </w:rPr>
        <w:t xml:space="preserve"> turbocharged engines are associated with a notable price premium over standard aspiration.</w:t>
      </w:r>
    </w:p>
    <w:p>
      <w:pPr>
        <w:pStyle w:val="ListParagraph"/>
        <w:numPr>
          <w:ilvl w:val="0"/>
          <w:numId w:val="2"/>
        </w:numPr>
        <w:spacing w:after="80"/>
      </w:pPr>
      <w:r>
        <w:rPr>
          <w:rFonts w:ascii="Arial" w:cs="Arial" w:eastAsia="Arial" w:hAnsi="Arial"/>
          <w:b/>
          <w:bCs/>
          <w:sz w:val="22"/>
          <w:szCs w:val="22"/>
        </w:rPr>
        <w:t xml:space="preserve">Door number:</w:t>
      </w:r>
      <w:r>
        <w:rPr>
          <w:rFonts w:ascii="Arial" w:cs="Arial" w:eastAsia="Arial" w:hAnsi="Arial"/>
          <w:sz w:val="22"/>
          <w:szCs w:val="22"/>
        </w:rPr>
        <w:t xml:space="preserve"> two-door configurations skew toward higher average prices, reflecting sportier body styles.</w:t>
      </w:r>
    </w:p>
    <w:p>
      <w:pPr>
        <w:pStyle w:val="ListParagraph"/>
        <w:numPr>
          <w:ilvl w:val="0"/>
          <w:numId w:val="2"/>
        </w:numPr>
        <w:spacing w:after="80"/>
      </w:pPr>
      <w:r>
        <w:rPr>
          <w:rFonts w:ascii="Arial" w:cs="Arial" w:eastAsia="Arial" w:hAnsi="Arial"/>
          <w:b/>
          <w:bCs/>
          <w:sz w:val="22"/>
          <w:szCs w:val="22"/>
        </w:rPr>
        <w:t xml:space="preserve">Car body:</w:t>
      </w:r>
      <w:r>
        <w:rPr>
          <w:rFonts w:ascii="Arial" w:cs="Arial" w:eastAsia="Arial" w:hAnsi="Arial"/>
          <w:sz w:val="22"/>
          <w:szCs w:val="22"/>
        </w:rPr>
        <w:t xml:space="preserve"> hardtops and convertibles occupy the top of the price range, while hatchbacks sit at the lower end.</w:t>
      </w:r>
    </w:p>
    <w:p>
      <w:pPr>
        <w:pStyle w:val="ListParagraph"/>
        <w:numPr>
          <w:ilvl w:val="0"/>
          <w:numId w:val="2"/>
        </w:numPr>
        <w:spacing w:after="80"/>
      </w:pPr>
      <w:r>
        <w:rPr>
          <w:rFonts w:ascii="Arial" w:cs="Arial" w:eastAsia="Arial" w:hAnsi="Arial"/>
          <w:b/>
          <w:bCs/>
          <w:sz w:val="22"/>
          <w:szCs w:val="22"/>
        </w:rPr>
        <w:t xml:space="preserve">Drive wheel:</w:t>
      </w:r>
      <w:r>
        <w:rPr>
          <w:rFonts w:ascii="Arial" w:cs="Arial" w:eastAsia="Arial" w:hAnsi="Arial"/>
          <w:sz w:val="22"/>
          <w:szCs w:val="22"/>
        </w:rPr>
        <w:t xml:space="preserve"> rear-wheel-drive vehicles command substantially higher average prices than front-wheel-drive ones.</w:t>
      </w:r>
    </w:p>
    <w:p>
      <w:pPr>
        <w:pStyle w:val="ListParagraph"/>
        <w:numPr>
          <w:ilvl w:val="0"/>
          <w:numId w:val="2"/>
        </w:numPr>
        <w:spacing w:after="80"/>
      </w:pPr>
      <w:r>
        <w:rPr>
          <w:rFonts w:ascii="Arial" w:cs="Arial" w:eastAsia="Arial" w:hAnsi="Arial"/>
          <w:b/>
          <w:bCs/>
          <w:sz w:val="22"/>
          <w:szCs w:val="22"/>
        </w:rPr>
        <w:t xml:space="preserve">Engine location:</w:t>
      </w:r>
      <w:r>
        <w:rPr>
          <w:rFonts w:ascii="Arial" w:cs="Arial" w:eastAsia="Arial" w:hAnsi="Arial"/>
          <w:sz w:val="22"/>
          <w:szCs w:val="22"/>
        </w:rPr>
        <w:t xml:space="preserve"> rear-engine placement is associated with the highest average price band, consistent with exotic/sports configurations.</w:t>
      </w:r>
    </w:p>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3: Mean price across categories of six categorical attributes</w:t>
      </w:r>
    </w:p>
    <w:p>
      <w:r>
        <w:br w:type="page"/>
      </w:r>
    </w:p>
    <w:p>
      <w:pPr>
        <w:pStyle w:val="Heading2"/>
        <w:spacing w:after="80" w:before="220"/>
      </w:pPr>
      <w:r>
        <w:rPr>
          <w:rFonts w:ascii="Arial" w:cs="Arial" w:eastAsia="Arial" w:hAnsi="Arial"/>
          <w:b/>
          <w:bCs/>
          <w:color w:val="127C71"/>
          <w:sz w:val="28"/>
          <w:szCs w:val="28"/>
        </w:rPr>
        <w:t xml:space="preserve">2.5 Numerical Feature Correlations</w:t>
      </w:r>
    </w:p>
    <w:p>
      <w:pPr>
        <w:spacing w:after="120" w:line="280"/>
        <w:jc w:val="both"/>
      </w:pPr>
      <w:r>
        <w:rPr>
          <w:rFonts w:ascii="Arial" w:cs="Arial" w:eastAsia="Arial" w:hAnsi="Arial"/>
          <w:sz w:val="22"/>
          <w:szCs w:val="22"/>
        </w:rPr>
        <w:t xml:space="preserve">A Pearson correlation matrix was computed across 15 numerical columns, including price, and visualised as a lower-triangular heatmap. The six attributes with the largest absolute correlation with price were then identified for closer inspection via scatter plots.</w:t>
      </w:r>
    </w:p>
    <w:p>
      <w:pPr>
        <w:spacing w:after="80" w:before="180"/>
      </w:pPr>
      <w:r>
        <w:rPr>
          <w:rFonts w:ascii="Arial" w:cs="Arial" w:eastAsia="Arial" w:hAnsi="Arial"/>
          <w:b/>
          <w:bCs/>
          <w:color w:val="1F3A5F"/>
          <w:sz w:val="22"/>
          <w:szCs w:val="22"/>
        </w:rPr>
        <w:t xml:space="preserve">Table 4: Correlation of Numerical Attributes with Price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Feature</w:t>
            </w:r>
          </w:p>
        </w:tc>
        <w:tc>
          <w:tcPr>
            <w:tcW w:type="dxa" w:w="3013"/>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Correlation (r)</w:t>
            </w:r>
          </w:p>
        </w:tc>
        <w:tc>
          <w:tcPr>
            <w:tcW w:type="dxa" w:w="3013"/>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Direction</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enginesize</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0.874</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positive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curbweight</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0.835</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positive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horsepower</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0.808</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positive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carwidth</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0.759</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positive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highwaympg</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-0.698</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negative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citympg</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-0.686</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Strong negative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carlength</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0.683</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Moderate positive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wheelbase</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0.578</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Moderate positive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boreratio</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0.553</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Moderate positive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carheight</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0.119</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Negligible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symboling</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-0.080</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Negligible</w:t>
            </w:r>
          </w:p>
        </w:tc>
      </w:tr>
      <w:tr>
        <w:trPr>
          <w:tblHeader w:val="false"/>
        </w:trPr>
        <w:tc>
          <w:tcPr>
            <w:tcW w:type="dxa" w:w="30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stroke</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0.079</w:t>
            </w:r>
          </w:p>
        </w:tc>
        <w:tc>
          <w:tcPr>
            <w:tcW w:type="dxa" w:w="3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Negligible</w:t>
            </w:r>
          </w:p>
        </w:tc>
      </w:tr>
      <w:tr>
        <w:trPr>
          <w:tblHeader w:val="false"/>
        </w:trPr>
        <w:tc>
          <w:tcPr>
            <w:tcW w:type="dxa" w:w="30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compressionratio</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0.068</w:t>
            </w:r>
          </w:p>
        </w:tc>
        <w:tc>
          <w:tcPr>
            <w:tcW w:type="dxa" w:w="3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Negligible</w:t>
            </w:r>
          </w:p>
        </w:tc>
      </w:tr>
    </w:tbl>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4: Correlation heatmap of numerical attributes (lower triangle)</w:t>
      </w:r>
    </w:p>
    <w:p>
      <w:r>
        <w:br w:type="page"/>
      </w:r>
    </w:p>
    <w:p>
      <w:pPr>
        <w:spacing w:after="120" w:line="280"/>
        <w:jc w:val="both"/>
      </w:pPr>
      <w:r>
        <w:rPr>
          <w:rFonts w:ascii="Arial" w:cs="Arial" w:eastAsia="Arial" w:hAnsi="Arial"/>
          <w:sz w:val="22"/>
          <w:szCs w:val="22"/>
        </w:rPr>
        <w:t xml:space="preserve">The scatter plots below confirm the directionality found in the correlation table: engine size, curb weight, horsepower, and car width all rise together with price, while the two fuel-economy measures fall as price increases — larger, more powerful vehicles tend to consume more fuel and cost more.</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5: Scatter plots of the six most price-correlated features</w:t>
      </w:r>
    </w:p>
    <w:p>
      <w:pPr>
        <w:pStyle w:val="Heading2"/>
        <w:spacing w:after="80" w:before="220"/>
      </w:pPr>
      <w:r>
        <w:rPr>
          <w:rFonts w:ascii="Arial" w:cs="Arial" w:eastAsia="Arial" w:hAnsi="Arial"/>
          <w:b/>
          <w:bCs/>
          <w:color w:val="127C71"/>
          <w:sz w:val="28"/>
          <w:szCs w:val="28"/>
        </w:rPr>
        <w:t xml:space="preserve">2.6 Identifying Outliers in Key Features</w:t>
      </w:r>
    </w:p>
    <w:p>
      <w:pPr>
        <w:spacing w:after="120" w:line="280"/>
        <w:jc w:val="both"/>
      </w:pPr>
      <w:r>
        <w:rPr>
          <w:rFonts w:ascii="Arial" w:cs="Arial" w:eastAsia="Arial" w:hAnsi="Arial"/>
          <w:sz w:val="22"/>
          <w:szCs w:val="22"/>
        </w:rPr>
        <w:t xml:space="preserve">Box plots were drawn for the same six top-correlated features to flag potential outliers. Engine size and horsepower in particular show high-value points that sit well above the upper whisker; these correspond to high-performance and luxury vehicles rather than data-entry errors, and were therefore </w:t>
      </w:r>
      <w:r>
        <w:rPr>
          <w:rFonts w:ascii="Arial" w:cs="Arial" w:eastAsia="Arial" w:hAnsi="Arial"/>
          <w:b/>
          <w:bCs/>
          <w:sz w:val="22"/>
          <w:szCs w:val="22"/>
        </w:rPr>
        <w:t xml:space="preserve">kept in the dataset</w:t>
      </w:r>
      <w:r>
        <w:rPr>
          <w:rFonts w:ascii="Arial" w:cs="Arial" w:eastAsia="Arial" w:hAnsi="Arial"/>
          <w:sz w:val="22"/>
          <w:szCs w:val="22"/>
        </w:rPr>
        <w:t xml:space="preserve"> for modelling.</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6: Box plots of the six most price-correlated numerical features</w:t>
      </w:r>
    </w:p>
    <w:p>
      <w:r>
        <w:br w:type="page"/>
      </w:r>
    </w:p>
    <w:p>
      <w:pPr>
        <w:pStyle w:val="Heading1"/>
        <w:spacing w:after="120" w:before="320"/>
      </w:pPr>
      <w:r>
        <w:rPr>
          <w:rFonts w:ascii="Arial" w:cs="Arial" w:eastAsia="Arial" w:hAnsi="Arial"/>
          <w:b/>
          <w:bCs/>
          <w:color w:val="1F3A5F"/>
          <w:sz w:val="34"/>
          <w:szCs w:val="34"/>
        </w:rPr>
        <w:t xml:space="preserve">3. Data Preprocessing</w:t>
      </w:r>
    </w:p>
    <w:p>
      <w:pPr>
        <w:pBdr>
          <w:bottom w:val="single" w:color="127C71" w:sz="8" w:space="1"/>
        </w:pBdr>
        <w:spacing w:after="120"/>
      </w:pPr>
    </w:p>
    <w:p>
      <w:pPr>
        <w:spacing w:after="120" w:line="280"/>
        <w:jc w:val="both"/>
      </w:pPr>
      <w:r>
        <w:rPr>
          <w:rFonts w:ascii="Arial" w:cs="Arial" w:eastAsia="Arial" w:hAnsi="Arial"/>
          <w:sz w:val="22"/>
          <w:szCs w:val="22"/>
        </w:rPr>
        <w:t xml:space="preserve">Before fitting any regression model, the raw, partly categorical dataset was converted into a fully numeric feature matrix, split into training and test partitions, and scaled.</w:t>
      </w:r>
    </w:p>
    <w:p>
      <w:pPr>
        <w:pStyle w:val="Heading2"/>
        <w:spacing w:after="80" w:before="220"/>
      </w:pPr>
      <w:r>
        <w:rPr>
          <w:rFonts w:ascii="Arial" w:cs="Arial" w:eastAsia="Arial" w:hAnsi="Arial"/>
          <w:b/>
          <w:bCs/>
          <w:color w:val="127C71"/>
          <w:sz w:val="28"/>
          <w:szCs w:val="28"/>
        </w:rPr>
        <w:t xml:space="preserve">3.1 Encoding Categorical Variables</w:t>
      </w:r>
    </w:p>
    <w:p>
      <w:pPr>
        <w:spacing w:after="120" w:line="280"/>
        <w:jc w:val="both"/>
      </w:pPr>
      <w:r>
        <w:rPr>
          <w:rFonts w:ascii="Arial" w:cs="Arial" w:eastAsia="Arial" w:hAnsi="Arial"/>
          <w:sz w:val="22"/>
          <w:szCs w:val="22"/>
        </w:rPr>
        <w:t xml:space="preserve">Two encoding strategies were used depending on how many distinct values a categorical column held:</w:t>
      </w:r>
    </w:p>
    <w:p>
      <w:pPr>
        <w:pStyle w:val="ListParagraph"/>
        <w:numPr>
          <w:ilvl w:val="0"/>
          <w:numId w:val="2"/>
        </w:numPr>
        <w:spacing w:after="80"/>
      </w:pPr>
      <w:r>
        <w:rPr>
          <w:rFonts w:ascii="Arial" w:cs="Arial" w:eastAsia="Arial" w:hAnsi="Arial"/>
          <w:b/>
          <w:bCs/>
          <w:sz w:val="22"/>
          <w:szCs w:val="22"/>
        </w:rPr>
        <w:t xml:space="preserve">Two-level columns</w:t>
      </w:r>
      <w:r>
        <w:rPr>
          <w:rFonts w:ascii="Arial" w:cs="Arial" w:eastAsia="Arial" w:hAnsi="Arial"/>
          <w:sz w:val="22"/>
          <w:szCs w:val="22"/>
        </w:rPr>
        <w:t xml:space="preserve"> were mapped directly to 0/1 using a dictionary (fueltype: gas=1/diesel=0, aspiration: turbo=1/std=0, doornumber: two=1/four=0, enginelocation: front=1/rear=0).</w:t>
      </w:r>
    </w:p>
    <w:p>
      <w:pPr>
        <w:pStyle w:val="ListParagraph"/>
        <w:numPr>
          <w:ilvl w:val="0"/>
          <w:numId w:val="2"/>
        </w:numPr>
        <w:spacing w:after="80"/>
      </w:pPr>
      <w:r>
        <w:rPr>
          <w:rFonts w:ascii="Arial" w:cs="Arial" w:eastAsia="Arial" w:hAnsi="Arial"/>
          <w:b/>
          <w:bCs/>
          <w:sz w:val="22"/>
          <w:szCs w:val="22"/>
        </w:rPr>
        <w:t xml:space="preserve">Higher-cardinality columns</w:t>
      </w:r>
      <w:r>
        <w:rPr>
          <w:rFonts w:ascii="Arial" w:cs="Arial" w:eastAsia="Arial" w:hAnsi="Arial"/>
          <w:sz w:val="22"/>
          <w:szCs w:val="22"/>
        </w:rPr>
        <w:t xml:space="preserve"> — carbody, drivewheel, enginetype, cylindernumber, fuelsystem, and carcompany — were one-hot encoded with the first category dropped (drop_first=True) to avoid the dummy-variable trap.</w:t>
      </w:r>
    </w:p>
    <w:p>
      <w:pPr>
        <w:spacing w:after="80" w:before="180"/>
      </w:pPr>
      <w:r>
        <w:rPr>
          <w:rFonts w:ascii="Arial" w:cs="Arial" w:eastAsia="Arial" w:hAnsi="Arial"/>
          <w:b/>
          <w:bCs/>
          <w:color w:val="1F3A5F"/>
          <w:sz w:val="22"/>
          <w:szCs w:val="22"/>
        </w:rPr>
        <w:t xml:space="preserve">Table 5: One-Hot Encoding Expansion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Column</w:t>
            </w:r>
          </w:p>
        </w:tc>
        <w:tc>
          <w:tcPr>
            <w:tcW w:type="dxa" w:w="3009"/>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Distinct Values</w:t>
            </w:r>
          </w:p>
        </w:tc>
        <w:tc>
          <w:tcPr>
            <w:tcW w:type="dxa" w:w="3008"/>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Dummy Columns Created</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carbody</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drivewheel</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enginetype</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cylindernumber</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fuelsystem</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carcompany</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22</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21</w:t>
            </w:r>
          </w:p>
        </w:tc>
      </w:tr>
    </w:tbl>
    <w:p/>
    <w:p>
      <w:pPr>
        <w:spacing w:after="120" w:line="280"/>
        <w:jc w:val="both"/>
      </w:pPr>
      <w:r>
        <w:rPr>
          <w:rFonts w:ascii="Arial" w:cs="Arial" w:eastAsia="Arial" w:hAnsi="Arial"/>
          <w:sz w:val="22"/>
          <w:szCs w:val="22"/>
        </w:rPr>
        <w:t xml:space="preserve">After dropping car_ID and CarName and applying both encodings, the modelling table expanded from 26 to </w:t>
      </w:r>
      <w:r>
        <w:rPr>
          <w:rFonts w:ascii="Arial" w:cs="Arial" w:eastAsia="Arial" w:hAnsi="Arial"/>
          <w:b/>
          <w:bCs/>
          <w:sz w:val="22"/>
          <w:szCs w:val="22"/>
        </w:rPr>
        <w:t xml:space="preserve">65 columns</w:t>
      </w:r>
      <w:r>
        <w:rPr>
          <w:rFonts w:ascii="Arial" w:cs="Arial" w:eastAsia="Arial" w:hAnsi="Arial"/>
          <w:sz w:val="22"/>
          <w:szCs w:val="22"/>
        </w:rPr>
        <w:t xml:space="preserve"> (64 features plus the price target), with no missing values introduced by the transformation.</w:t>
      </w:r>
    </w:p>
    <w:p>
      <w:pPr>
        <w:pStyle w:val="Heading2"/>
        <w:spacing w:after="80" w:before="220"/>
      </w:pPr>
      <w:r>
        <w:rPr>
          <w:rFonts w:ascii="Arial" w:cs="Arial" w:eastAsia="Arial" w:hAnsi="Arial"/>
          <w:b/>
          <w:bCs/>
          <w:color w:val="127C71"/>
          <w:sz w:val="28"/>
          <w:szCs w:val="28"/>
        </w:rPr>
        <w:t xml:space="preserve">3.2 Data Splitting and Standardization</w:t>
      </w:r>
    </w:p>
    <w:p>
      <w:pPr>
        <w:spacing w:after="120" w:line="280"/>
        <w:jc w:val="both"/>
      </w:pPr>
      <w:r>
        <w:rPr>
          <w:rFonts w:ascii="Arial" w:cs="Arial" w:eastAsia="Arial" w:hAnsi="Arial"/>
          <w:sz w:val="22"/>
          <w:szCs w:val="22"/>
        </w:rPr>
        <w:t xml:space="preserve">The 65-column table was split into a feature matrix X (64 columns) and target vector y (price). An 80/20 train-test split with random_state=42 produced </w:t>
      </w:r>
      <w:r>
        <w:rPr>
          <w:rFonts w:ascii="Arial" w:cs="Arial" w:eastAsia="Arial" w:hAnsi="Arial"/>
          <w:b/>
          <w:bCs/>
          <w:sz w:val="22"/>
          <w:szCs w:val="22"/>
        </w:rPr>
        <w:t xml:space="preserve">164 training rows</w:t>
      </w:r>
      <w:r>
        <w:rPr>
          <w:rFonts w:ascii="Arial" w:cs="Arial" w:eastAsia="Arial" w:hAnsi="Arial"/>
          <w:sz w:val="22"/>
          <w:szCs w:val="22"/>
        </w:rPr>
        <w:t xml:space="preserve"> and </w:t>
      </w:r>
      <w:r>
        <w:rPr>
          <w:rFonts w:ascii="Arial" w:cs="Arial" w:eastAsia="Arial" w:hAnsi="Arial"/>
          <w:b/>
          <w:bCs/>
          <w:sz w:val="22"/>
          <w:szCs w:val="22"/>
        </w:rPr>
        <w:t xml:space="preserve">41 test rows</w:t>
      </w:r>
      <w:r>
        <w:rPr>
          <w:rFonts w:ascii="Arial" w:cs="Arial" w:eastAsia="Arial" w:hAnsi="Arial"/>
          <w:sz w:val="22"/>
          <w:szCs w:val="22"/>
        </w:rPr>
        <w:t xml:space="preserve">. A StandardScaler instance was fitted exclusively on the training rows and then used to transform both partitions, ensuring no information from the test set leaked into the scaling step.</w:t>
      </w:r>
    </w:p>
    <w:p>
      <w:pPr>
        <w:spacing w:after="80" w:before="180"/>
      </w:pPr>
      <w:r>
        <w:rPr>
          <w:rFonts w:ascii="Arial" w:cs="Arial" w:eastAsia="Arial" w:hAnsi="Arial"/>
          <w:b/>
          <w:bCs/>
          <w:color w:val="1F3A5F"/>
          <w:sz w:val="22"/>
          <w:szCs w:val="22"/>
        </w:rPr>
        <w:t xml:space="preserve">Table 6: Split and Scaling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Parameter</w:t>
            </w:r>
          </w:p>
        </w:tc>
        <w:tc>
          <w:tcPr>
            <w:tcW w:type="dxa" w:w="55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Value</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Total rows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205</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Training rows</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164 (80%)</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Test rows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41 (20%)</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Random seed</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42</w:t>
            </w:r>
          </w:p>
        </w:tc>
      </w:tr>
      <w:tr>
        <w:trPr>
          <w:tblHeader w:val="false"/>
        </w:trPr>
        <w:tc>
          <w:tcPr>
            <w:tcW w:type="dxa" w:w="3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Feature columns</w:t>
            </w:r>
          </w:p>
        </w:tc>
        <w:tc>
          <w:tcPr>
            <w:tcW w:type="dxa" w:w="55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64</w:t>
            </w:r>
          </w:p>
        </w:tc>
      </w:tr>
      <w:tr>
        <w:trPr>
          <w:tblHeader w:val="false"/>
        </w:trPr>
        <w:tc>
          <w:tcPr>
            <w:tcW w:type="dxa" w:w="3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Scaler</w:t>
            </w:r>
          </w:p>
        </w:tc>
        <w:tc>
          <w:tcPr>
            <w:tcW w:type="dxa" w:w="55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StandardScaler — fitted on train set only, applied to both partitions</w:t>
            </w:r>
          </w:p>
        </w:tc>
      </w:tr>
    </w:tbl>
    <w:p>
      <w:r>
        <w:br w:type="page"/>
      </w:r>
    </w:p>
    <w:p>
      <w:pPr>
        <w:pStyle w:val="Heading1"/>
        <w:spacing w:after="120" w:before="320"/>
      </w:pPr>
      <w:r>
        <w:rPr>
          <w:rFonts w:ascii="Arial" w:cs="Arial" w:eastAsia="Arial" w:hAnsi="Arial"/>
          <w:b/>
          <w:bCs/>
          <w:color w:val="1F3A5F"/>
          <w:sz w:val="34"/>
          <w:szCs w:val="34"/>
        </w:rPr>
        <w:t xml:space="preserve">4. Multicollinearity Diagnosis — Variance Inflation Factor (VIF)</w:t>
      </w:r>
    </w:p>
    <w:p>
      <w:pPr>
        <w:pBdr>
          <w:bottom w:val="single" w:color="127C71" w:sz="8" w:space="1"/>
        </w:pBdr>
        <w:spacing w:after="120"/>
      </w:pPr>
    </w:p>
    <w:p>
      <w:pPr>
        <w:spacing w:after="120" w:line="280"/>
        <w:jc w:val="both"/>
      </w:pPr>
      <w:r>
        <w:rPr>
          <w:rFonts w:ascii="Arial" w:cs="Arial" w:eastAsia="Arial" w:hAnsi="Arial"/>
          <w:sz w:val="22"/>
          <w:szCs w:val="22"/>
        </w:rPr>
        <w:t xml:space="preserve">Highly correlated predictors can destabilise ordinary least-squares coefficient estimates, inflating their variance and making them difficult to interpret. The Variance Inflation Factor (VIF) was computed for the 14 base numerical attributes (prior to one-hot encoding) to flag this issue. A VIF above 10 is generally treated as evidence of problematic multicollinearity.</w:t>
      </w:r>
    </w:p>
    <w:p>
      <w:pPr>
        <w:spacing w:after="80" w:before="180"/>
      </w:pPr>
      <w:r>
        <w:rPr>
          <w:rFonts w:ascii="Arial" w:cs="Arial" w:eastAsia="Arial" w:hAnsi="Arial"/>
          <w:b/>
          <w:bCs/>
          <w:color w:val="1F3A5F"/>
          <w:sz w:val="22"/>
          <w:szCs w:val="22"/>
        </w:rPr>
        <w:t xml:space="preserve">Table 7: VIF Scores for Numerical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Feature</w:t>
            </w:r>
          </w:p>
        </w:tc>
        <w:tc>
          <w:tcPr>
            <w:tcW w:type="dxa" w:w="3009"/>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VIF Score</w:t>
            </w:r>
          </w:p>
        </w:tc>
        <w:tc>
          <w:tcPr>
            <w:tcW w:type="dxa" w:w="3008"/>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Assessment</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citympg</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25.86</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Severe — well above threshold</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highwaympg</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20.18</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Severe — well above threshold</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curbweight</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15.46</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High — exceeds threshold</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carlength</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8.79</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Moderate</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wheelbase</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8.42</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Moderate</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horsepower</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7.83</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Acceptable</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enginesize</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6.70</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Acceptable</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carwidth</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5.05</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Acceptable</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compressionratio</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2.27</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carheight</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2.25</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peakrpm</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2.11</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boreratio</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1.97</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r>
        <w:trPr>
          <w:tblHeader w:val="false"/>
        </w:trPr>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symboling</w:t>
            </w:r>
          </w:p>
        </w:tc>
        <w:tc>
          <w:tcPr>
            <w:tcW w:type="dxa" w:w="3009"/>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1.95</w:t>
            </w:r>
          </w:p>
        </w:tc>
        <w:tc>
          <w:tcPr>
            <w:tcW w:type="dxa" w:w="3008"/>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r>
        <w:trPr>
          <w:tblHeader w:val="false"/>
        </w:trPr>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stroke</w:t>
            </w:r>
          </w:p>
        </w:tc>
        <w:tc>
          <w:tcPr>
            <w:tcW w:type="dxa" w:w="3009"/>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1.18</w:t>
            </w:r>
          </w:p>
        </w:tc>
        <w:tc>
          <w:tcPr>
            <w:tcW w:type="dxa" w:w="3008"/>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Low</w:t>
            </w:r>
          </w:p>
        </w:tc>
      </w:tr>
    </w:tbl>
    <w:p/>
    <w:p>
      <w:pPr>
        <w:spacing w:after="120" w:line="280"/>
        <w:jc w:val="both"/>
      </w:pPr>
      <w:r>
        <w:rPr>
          <w:rFonts w:ascii="Arial" w:cs="Arial" w:eastAsia="Arial" w:hAnsi="Arial"/>
          <w:sz w:val="22"/>
          <w:szCs w:val="22"/>
        </w:rPr>
        <w:t xml:space="preserve">Three attributes — </w:t>
      </w:r>
      <w:r>
        <w:rPr>
          <w:rFonts w:ascii="Arial" w:cs="Arial" w:eastAsia="Arial" w:hAnsi="Arial"/>
          <w:b/>
          <w:bCs/>
          <w:sz w:val="22"/>
          <w:szCs w:val="22"/>
        </w:rPr>
        <w:t xml:space="preserve">citympg</w:t>
      </w:r>
      <w:r>
        <w:rPr>
          <w:rFonts w:ascii="Arial" w:cs="Arial" w:eastAsia="Arial" w:hAnsi="Arial"/>
          <w:sz w:val="22"/>
          <w:szCs w:val="22"/>
        </w:rPr>
        <w:t xml:space="preserve">, </w:t>
      </w:r>
      <w:r>
        <w:rPr>
          <w:rFonts w:ascii="Arial" w:cs="Arial" w:eastAsia="Arial" w:hAnsi="Arial"/>
          <w:b/>
          <w:bCs/>
          <w:sz w:val="22"/>
          <w:szCs w:val="22"/>
        </w:rPr>
        <w:t xml:space="preserve">highwaympg</w:t>
      </w:r>
      <w:r>
        <w:rPr>
          <w:rFonts w:ascii="Arial" w:cs="Arial" w:eastAsia="Arial" w:hAnsi="Arial"/>
          <w:sz w:val="22"/>
          <w:szCs w:val="22"/>
        </w:rPr>
        <w:t xml:space="preserve">, and </w:t>
      </w:r>
      <w:r>
        <w:rPr>
          <w:rFonts w:ascii="Arial" w:cs="Arial" w:eastAsia="Arial" w:hAnsi="Arial"/>
          <w:b/>
          <w:bCs/>
          <w:sz w:val="22"/>
          <w:szCs w:val="22"/>
        </w:rPr>
        <w:t xml:space="preserve">curbweight</w:t>
      </w:r>
      <w:r>
        <w:rPr>
          <w:rFonts w:ascii="Arial" w:cs="Arial" w:eastAsia="Arial" w:hAnsi="Arial"/>
          <w:sz w:val="22"/>
          <w:szCs w:val="22"/>
        </w:rPr>
        <w:t xml:space="preserve"> — exceed the VIF=10 threshold, reflecting the well-known relationship between vehicle weight, engine demands, and fuel economy. This redundancy among predictors is one of the main motivations for evaluating Ridge, Lasso, and ElasticNet alongside plain OLS, since the penalty terms constrain coefficient magnitudes and reduce sensitivity to correlated inputs.</w:t>
      </w:r>
    </w:p>
    <w:p>
      <w:pPr>
        <w:spacing w:after="60" w:before="120"/>
        <w:jc w:val="center"/>
      </w:pPr>
      <w:r>
        <w:drawing>
          <wp:inline distT="0" distB="0" distL="0" distR="0">
            <wp:extent cx="54864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01942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10: VIF scores for numerical attributes (red bars exceed the VIF=10 threshold)</w:t>
      </w:r>
    </w:p>
    <w:p>
      <w:r>
        <w:br w:type="page"/>
      </w:r>
    </w:p>
    <w:p>
      <w:pPr>
        <w:pStyle w:val="Heading1"/>
        <w:spacing w:after="120" w:before="320"/>
      </w:pPr>
      <w:r>
        <w:rPr>
          <w:rFonts w:ascii="Arial" w:cs="Arial" w:eastAsia="Arial" w:hAnsi="Arial"/>
          <w:b/>
          <w:bCs/>
          <w:color w:val="1F3A5F"/>
          <w:sz w:val="34"/>
          <w:szCs w:val="34"/>
        </w:rPr>
        <w:t xml:space="preserve">5. Regression Model Training</w:t>
      </w:r>
    </w:p>
    <w:p>
      <w:pPr>
        <w:pBdr>
          <w:bottom w:val="single" w:color="127C71" w:sz="8" w:space="1"/>
        </w:pBdr>
        <w:spacing w:after="120"/>
      </w:pPr>
    </w:p>
    <w:p>
      <w:pPr>
        <w:spacing w:after="120" w:line="280"/>
        <w:jc w:val="both"/>
      </w:pPr>
      <w:r>
        <w:rPr>
          <w:rFonts w:ascii="Arial" w:cs="Arial" w:eastAsia="Arial" w:hAnsi="Arial"/>
          <w:sz w:val="22"/>
          <w:szCs w:val="22"/>
        </w:rPr>
        <w:t xml:space="preserve">Four regression models were trained on the standardized 64-feature training matrix: an ordinary Linear Regression baseline, and three regularized variants — Ridge, Lasso, and ElasticNet. Each was evaluated on the same 41-row held-out test set.</w:t>
      </w:r>
    </w:p>
    <w:p>
      <w:pPr>
        <w:pStyle w:val="Heading2"/>
        <w:spacing w:after="80" w:before="220"/>
      </w:pPr>
      <w:r>
        <w:rPr>
          <w:rFonts w:ascii="Arial" w:cs="Arial" w:eastAsia="Arial" w:hAnsi="Arial"/>
          <w:b/>
          <w:bCs/>
          <w:color w:val="127C71"/>
          <w:sz w:val="28"/>
          <w:szCs w:val="28"/>
        </w:rPr>
        <w:t xml:space="preserve">5.1 Ordinary Linear Regression — Baseline</w:t>
      </w:r>
    </w:p>
    <w:p>
      <w:pPr>
        <w:spacing w:after="120" w:line="280"/>
        <w:jc w:val="both"/>
      </w:pPr>
      <w:r>
        <w:rPr>
          <w:rFonts w:ascii="Arial" w:cs="Arial" w:eastAsia="Arial" w:hAnsi="Arial"/>
          <w:sz w:val="22"/>
          <w:szCs w:val="22"/>
        </w:rPr>
        <w:t xml:space="preserve">A plain OLS model was fitted first to establish a reference benchmark. It minimises the sum of squared residuals with no constraint on coefficient size:</w:t>
      </w:r>
    </w:p>
    <w:p>
      <w:pPr>
        <w:spacing w:after="120" w:line="280"/>
        <w:jc w:val="both"/>
      </w:pPr>
      <w:r>
        <w:rPr>
          <w:rFonts w:ascii="Arial" w:cs="Arial" w:eastAsia="Arial" w:hAnsi="Arial"/>
          <w:sz w:val="22"/>
          <w:szCs w:val="22"/>
        </w:rPr>
        <w:t xml:space="preserve">Loss = sum of (y_i - y_predicted_i)^2</w:t>
      </w:r>
    </w:p>
    <w:p>
      <w:pPr>
        <w:spacing w:after="120" w:line="280"/>
        <w:jc w:val="both"/>
      </w:pPr>
      <w:r>
        <w:rPr>
          <w:rFonts w:ascii="Arial" w:cs="Arial" w:eastAsia="Arial" w:hAnsi="Arial"/>
          <w:sz w:val="22"/>
          <w:szCs w:val="22"/>
        </w:rPr>
        <w:t xml:space="preserve">On the test set, the baseline achieved an RMSE of </w:t>
      </w:r>
      <w:r>
        <w:rPr>
          <w:rFonts w:ascii="Arial" w:cs="Arial" w:eastAsia="Arial" w:hAnsi="Arial"/>
          <w:b/>
          <w:bCs/>
          <w:sz w:val="22"/>
          <w:szCs w:val="22"/>
        </w:rPr>
        <w:t xml:space="preserve">$2,669.93</w:t>
      </w:r>
      <w:r>
        <w:rPr>
          <w:rFonts w:ascii="Arial" w:cs="Arial" w:eastAsia="Arial" w:hAnsi="Arial"/>
          <w:sz w:val="22"/>
          <w:szCs w:val="22"/>
        </w:rPr>
        <w:t xml:space="preserve">, an MAE of </w:t>
      </w:r>
      <w:r>
        <w:rPr>
          <w:rFonts w:ascii="Arial" w:cs="Arial" w:eastAsia="Arial" w:hAnsi="Arial"/>
          <w:b/>
          <w:bCs/>
          <w:sz w:val="22"/>
          <w:szCs w:val="22"/>
        </w:rPr>
        <w:t xml:space="preserve">$1,763.57</w:t>
      </w:r>
      <w:r>
        <w:rPr>
          <w:rFonts w:ascii="Arial" w:cs="Arial" w:eastAsia="Arial" w:hAnsi="Arial"/>
          <w:sz w:val="22"/>
          <w:szCs w:val="22"/>
        </w:rPr>
        <w:t xml:space="preserve">, and an R-squared of </w:t>
      </w:r>
      <w:r>
        <w:rPr>
          <w:rFonts w:ascii="Arial" w:cs="Arial" w:eastAsia="Arial" w:hAnsi="Arial"/>
          <w:b/>
          <w:bCs/>
          <w:sz w:val="22"/>
          <w:szCs w:val="22"/>
        </w:rPr>
        <w:t xml:space="preserve">0.9097</w:t>
      </w:r>
      <w:r>
        <w:rPr>
          <w:rFonts w:ascii="Arial" w:cs="Arial" w:eastAsia="Arial" w:hAnsi="Arial"/>
          <w:sz w:val="22"/>
          <w:szCs w:val="22"/>
        </w:rPr>
        <w:t xml:space="preserve">.</w:t>
      </w:r>
    </w:p>
    <w:p>
      <w:pPr>
        <w:pStyle w:val="Heading2"/>
        <w:spacing w:after="80" w:before="220"/>
      </w:pPr>
      <w:r>
        <w:rPr>
          <w:rFonts w:ascii="Arial" w:cs="Arial" w:eastAsia="Arial" w:hAnsi="Arial"/>
          <w:b/>
          <w:bCs/>
          <w:color w:val="127C71"/>
          <w:sz w:val="28"/>
          <w:szCs w:val="28"/>
        </w:rPr>
        <w:t xml:space="preserve">5.2 Ridge Regression (L2 Penalty)</w:t>
      </w:r>
    </w:p>
    <w:p>
      <w:pPr>
        <w:spacing w:after="120" w:line="280"/>
        <w:jc w:val="both"/>
      </w:pPr>
      <w:r>
        <w:rPr>
          <w:rFonts w:ascii="Arial" w:cs="Arial" w:eastAsia="Arial" w:hAnsi="Arial"/>
          <w:sz w:val="22"/>
          <w:szCs w:val="22"/>
        </w:rPr>
        <w:t xml:space="preserve">Ridge regression adds a penalty proportional to the sum of squared coefficients, which shrinks all coefficients toward (but not exactly to) zero:</w:t>
      </w:r>
    </w:p>
    <w:p>
      <w:pPr>
        <w:spacing w:after="120" w:line="280"/>
        <w:jc w:val="both"/>
      </w:pPr>
      <w:r>
        <w:rPr>
          <w:rFonts w:ascii="Arial" w:cs="Arial" w:eastAsia="Arial" w:hAnsi="Arial"/>
          <w:sz w:val="22"/>
          <w:szCs w:val="22"/>
        </w:rPr>
        <w:t xml:space="preserve">Loss = sum (y_i - y_predicted_i)^2 + alpha x sum (beta_j^2)</w:t>
      </w:r>
    </w:p>
    <w:p>
      <w:pPr>
        <w:spacing w:after="120" w:line="280"/>
        <w:jc w:val="both"/>
      </w:pPr>
      <w:r>
        <w:rPr>
          <w:rFonts w:ascii="Arial" w:cs="Arial" w:eastAsia="Arial" w:hAnsi="Arial"/>
          <w:sz w:val="22"/>
          <w:szCs w:val="22"/>
        </w:rPr>
        <w:t xml:space="preserve">The regularization strength alpha was selected by 5-fold cross-validation over the grid [0.01, 0.1, 1, 10, 50, 100, 200, 500, 1000]. The best mean cross-validated R-squared (</w:t>
      </w:r>
      <w:r>
        <w:rPr>
          <w:rFonts w:ascii="Arial" w:cs="Arial" w:eastAsia="Arial" w:hAnsi="Arial"/>
          <w:b/>
          <w:bCs/>
          <w:sz w:val="22"/>
          <w:szCs w:val="22"/>
        </w:rPr>
        <w:t xml:space="preserve">0.9153</w:t>
      </w:r>
      <w:r>
        <w:rPr>
          <w:rFonts w:ascii="Arial" w:cs="Arial" w:eastAsia="Arial" w:hAnsi="Arial"/>
          <w:sz w:val="22"/>
          <w:szCs w:val="22"/>
        </w:rPr>
        <w:t xml:space="preserve">) was obtained at </w:t>
      </w:r>
      <w:r>
        <w:rPr>
          <w:rFonts w:ascii="Arial" w:cs="Arial" w:eastAsia="Arial" w:hAnsi="Arial"/>
          <w:b/>
          <w:bCs/>
          <w:sz w:val="22"/>
          <w:szCs w:val="22"/>
        </w:rPr>
        <w:t xml:space="preserve">alpha = 10</w:t>
      </w:r>
      <w:r>
        <w:rPr>
          <w:rFonts w:ascii="Arial" w:cs="Arial" w:eastAsia="Arial" w:hAnsi="Arial"/>
          <w:sz w:val="22"/>
          <w:szCs w:val="22"/>
        </w:rPr>
        <w:t xml:space="preserve">. The test-set results were: RMSE = </w:t>
      </w:r>
      <w:r>
        <w:rPr>
          <w:rFonts w:ascii="Arial" w:cs="Arial" w:eastAsia="Arial" w:hAnsi="Arial"/>
          <w:b/>
          <w:bCs/>
          <w:sz w:val="22"/>
          <w:szCs w:val="22"/>
        </w:rPr>
        <w:t xml:space="preserve">$2,928.00</w:t>
      </w:r>
      <w:r>
        <w:rPr>
          <w:rFonts w:ascii="Arial" w:cs="Arial" w:eastAsia="Arial" w:hAnsi="Arial"/>
          <w:sz w:val="22"/>
          <w:szCs w:val="22"/>
        </w:rPr>
        <w:t xml:space="preserve">, MAE = </w:t>
      </w:r>
      <w:r>
        <w:rPr>
          <w:rFonts w:ascii="Arial" w:cs="Arial" w:eastAsia="Arial" w:hAnsi="Arial"/>
          <w:b/>
          <w:bCs/>
          <w:sz w:val="22"/>
          <w:szCs w:val="22"/>
        </w:rPr>
        <w:t xml:space="preserve">$1,984.33</w:t>
      </w:r>
      <w:r>
        <w:rPr>
          <w:rFonts w:ascii="Arial" w:cs="Arial" w:eastAsia="Arial" w:hAnsi="Arial"/>
          <w:sz w:val="22"/>
          <w:szCs w:val="22"/>
        </w:rPr>
        <w:t xml:space="preserve">, R-squared = </w:t>
      </w:r>
      <w:r>
        <w:rPr>
          <w:rFonts w:ascii="Arial" w:cs="Arial" w:eastAsia="Arial" w:hAnsi="Arial"/>
          <w:b/>
          <w:bCs/>
          <w:sz w:val="22"/>
          <w:szCs w:val="22"/>
        </w:rPr>
        <w:t xml:space="preserve">0.8914</w:t>
      </w:r>
      <w:r>
        <w:rPr>
          <w:rFonts w:ascii="Arial" w:cs="Arial" w:eastAsia="Arial" w:hAnsi="Arial"/>
          <w:sz w:val="22"/>
          <w:szCs w:val="22"/>
        </w:rPr>
        <w:t xml:space="preserve">.</w:t>
      </w:r>
    </w:p>
    <w:p>
      <w:pPr>
        <w:spacing w:after="60" w:before="120"/>
        <w:jc w:val="center"/>
      </w:pPr>
      <w:r>
        <w:drawing>
          <wp:inline distT="0" distB="0" distL="0" distR="0">
            <wp:extent cx="50292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762250"/>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12: Mean 5-fold cross-validated R-squared across candidate Ridge alpha values</w:t>
      </w:r>
    </w:p>
    <w:p>
      <w:pPr>
        <w:pStyle w:val="Heading2"/>
        <w:spacing w:after="80" w:before="220"/>
      </w:pPr>
      <w:r>
        <w:rPr>
          <w:rFonts w:ascii="Arial" w:cs="Arial" w:eastAsia="Arial" w:hAnsi="Arial"/>
          <w:b/>
          <w:bCs/>
          <w:color w:val="127C71"/>
          <w:sz w:val="28"/>
          <w:szCs w:val="28"/>
        </w:rPr>
        <w:t xml:space="preserve">5.3 Lasso Regression (L1 Penalty)</w:t>
      </w:r>
    </w:p>
    <w:p>
      <w:pPr>
        <w:spacing w:after="120" w:line="280"/>
        <w:jc w:val="both"/>
      </w:pPr>
      <w:r>
        <w:rPr>
          <w:rFonts w:ascii="Arial" w:cs="Arial" w:eastAsia="Arial" w:hAnsi="Arial"/>
          <w:sz w:val="22"/>
          <w:szCs w:val="22"/>
        </w:rPr>
        <w:t xml:space="preserve">Lasso regression replaces the squared penalty with an absolute-value penalty, which can drive individual coefficients exactly to zero, enabling built-in feature selection:</w:t>
      </w:r>
    </w:p>
    <w:p>
      <w:pPr>
        <w:spacing w:after="120" w:line="280"/>
        <w:jc w:val="both"/>
      </w:pPr>
      <w:r>
        <w:rPr>
          <w:rFonts w:ascii="Arial" w:cs="Arial" w:eastAsia="Arial" w:hAnsi="Arial"/>
          <w:sz w:val="22"/>
          <w:szCs w:val="22"/>
        </w:rPr>
        <w:t xml:space="preserve">Loss = sum (y_i - y_predicted_i)^2 + alpha x sum |beta_j|</w:t>
      </w:r>
    </w:p>
    <w:p>
      <w:pPr>
        <w:spacing w:after="120" w:line="280"/>
        <w:jc w:val="both"/>
      </w:pPr>
      <w:r>
        <w:rPr>
          <w:rFonts w:ascii="Arial" w:cs="Arial" w:eastAsia="Arial" w:hAnsi="Arial"/>
          <w:sz w:val="22"/>
          <w:szCs w:val="22"/>
        </w:rPr>
        <w:t xml:space="preserve">With alpha = 50, Lasso produced an RMSE of </w:t>
      </w:r>
      <w:r>
        <w:rPr>
          <w:rFonts w:ascii="Arial" w:cs="Arial" w:eastAsia="Arial" w:hAnsi="Arial"/>
          <w:b/>
          <w:bCs/>
          <w:sz w:val="22"/>
          <w:szCs w:val="22"/>
        </w:rPr>
        <w:t xml:space="preserve">$3,001.34</w:t>
      </w:r>
      <w:r>
        <w:rPr>
          <w:rFonts w:ascii="Arial" w:cs="Arial" w:eastAsia="Arial" w:hAnsi="Arial"/>
          <w:sz w:val="22"/>
          <w:szCs w:val="22"/>
        </w:rPr>
        <w:t xml:space="preserve">, an MAE of </w:t>
      </w:r>
      <w:r>
        <w:rPr>
          <w:rFonts w:ascii="Arial" w:cs="Arial" w:eastAsia="Arial" w:hAnsi="Arial"/>
          <w:b/>
          <w:bCs/>
          <w:sz w:val="22"/>
          <w:szCs w:val="22"/>
        </w:rPr>
        <w:t xml:space="preserve">$2,090.68</w:t>
      </w:r>
      <w:r>
        <w:rPr>
          <w:rFonts w:ascii="Arial" w:cs="Arial" w:eastAsia="Arial" w:hAnsi="Arial"/>
          <w:sz w:val="22"/>
          <w:szCs w:val="22"/>
        </w:rPr>
        <w:t xml:space="preserve">, and an R-squared of </w:t>
      </w:r>
      <w:r>
        <w:rPr>
          <w:rFonts w:ascii="Arial" w:cs="Arial" w:eastAsia="Arial" w:hAnsi="Arial"/>
          <w:b/>
          <w:bCs/>
          <w:sz w:val="22"/>
          <w:szCs w:val="22"/>
        </w:rPr>
        <w:t xml:space="preserve">0.8859</w:t>
      </w:r>
      <w:r>
        <w:rPr>
          <w:rFonts w:ascii="Arial" w:cs="Arial" w:eastAsia="Arial" w:hAnsi="Arial"/>
          <w:sz w:val="22"/>
          <w:szCs w:val="22"/>
        </w:rPr>
        <w:t xml:space="preserve"> on the test set. Of the 64 candidate coefficients, </w:t>
      </w:r>
      <w:r>
        <w:rPr>
          <w:rFonts w:ascii="Arial" w:cs="Arial" w:eastAsia="Arial" w:hAnsi="Arial"/>
          <w:b/>
          <w:bCs/>
          <w:sz w:val="22"/>
          <w:szCs w:val="22"/>
        </w:rPr>
        <w:t xml:space="preserve">25 were driven exactly to zero</w:t>
      </w:r>
      <w:r>
        <w:rPr>
          <w:rFonts w:ascii="Arial" w:cs="Arial" w:eastAsia="Arial" w:hAnsi="Arial"/>
          <w:sz w:val="22"/>
          <w:szCs w:val="22"/>
        </w:rPr>
        <w:t xml:space="preserve"> and </w:t>
      </w:r>
      <w:r>
        <w:rPr>
          <w:rFonts w:ascii="Arial" w:cs="Arial" w:eastAsia="Arial" w:hAnsi="Arial"/>
          <w:b/>
          <w:bCs/>
          <w:sz w:val="22"/>
          <w:szCs w:val="22"/>
        </w:rPr>
        <w:t xml:space="preserve">39 remained non-zero</w:t>
      </w:r>
      <w:r>
        <w:rPr>
          <w:rFonts w:ascii="Arial" w:cs="Arial" w:eastAsia="Arial" w:hAnsi="Arial"/>
          <w:sz w:val="22"/>
          <w:szCs w:val="22"/>
        </w:rPr>
        <w:t xml:space="preserve">, demonstrating Lasso's feature-selection behaviour. The chart below shows the 20 largest non-zero coefficients by magnitude.</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11: Top 20 non-zero Lasso coefficients (alpha=50); blue bars raise price, red bars lower it</w:t>
      </w:r>
    </w:p>
    <w:p>
      <w:r>
        <w:br w:type="page"/>
      </w:r>
    </w:p>
    <w:p>
      <w:pPr>
        <w:pStyle w:val="Heading2"/>
        <w:spacing w:after="80" w:before="220"/>
      </w:pPr>
      <w:r>
        <w:rPr>
          <w:rFonts w:ascii="Arial" w:cs="Arial" w:eastAsia="Arial" w:hAnsi="Arial"/>
          <w:b/>
          <w:bCs/>
          <w:color w:val="127C71"/>
          <w:sz w:val="28"/>
          <w:szCs w:val="28"/>
        </w:rPr>
        <w:t xml:space="preserve">5.4 ElasticNet — Combined L1 + L2 Penalty</w:t>
      </w:r>
    </w:p>
    <w:p>
      <w:pPr>
        <w:spacing w:after="120" w:line="280"/>
        <w:jc w:val="both"/>
      </w:pPr>
      <w:r>
        <w:rPr>
          <w:rFonts w:ascii="Arial" w:cs="Arial" w:eastAsia="Arial" w:hAnsi="Arial"/>
          <w:sz w:val="22"/>
          <w:szCs w:val="22"/>
        </w:rPr>
        <w:t xml:space="preserve">ElasticNet blends the Ridge and Lasso penalties through a mixing parameter l1_ratio:</w:t>
      </w:r>
    </w:p>
    <w:p>
      <w:pPr>
        <w:spacing w:after="120" w:line="280"/>
        <w:jc w:val="both"/>
      </w:pPr>
      <w:r>
        <w:rPr>
          <w:rFonts w:ascii="Arial" w:cs="Arial" w:eastAsia="Arial" w:hAnsi="Arial"/>
          <w:sz w:val="22"/>
          <w:szCs w:val="22"/>
        </w:rPr>
        <w:t xml:space="preserve">Loss = sum (y_i - y_predicted_i)^2 + alpha x [l1_ratio x sum |beta_j| + (1 - l1_ratio) x sum (beta_j^2)]</w:t>
      </w:r>
    </w:p>
    <w:p>
      <w:pPr>
        <w:spacing w:after="120" w:line="280"/>
        <w:jc w:val="both"/>
      </w:pPr>
      <w:r>
        <w:rPr>
          <w:rFonts w:ascii="Arial" w:cs="Arial" w:eastAsia="Arial" w:hAnsi="Arial"/>
          <w:sz w:val="22"/>
          <w:szCs w:val="22"/>
        </w:rPr>
        <w:t xml:space="preserve">With alpha = 50 and l1_ratio = 0.5 (an equal blend), the model produced an RMSE of </w:t>
      </w:r>
      <w:r>
        <w:rPr>
          <w:rFonts w:ascii="Arial" w:cs="Arial" w:eastAsia="Arial" w:hAnsi="Arial"/>
          <w:b/>
          <w:bCs/>
          <w:sz w:val="22"/>
          <w:szCs w:val="22"/>
        </w:rPr>
        <w:t xml:space="preserve">$7,000.77</w:t>
      </w:r>
      <w:r>
        <w:rPr>
          <w:rFonts w:ascii="Arial" w:cs="Arial" w:eastAsia="Arial" w:hAnsi="Arial"/>
          <w:sz w:val="22"/>
          <w:szCs w:val="22"/>
        </w:rPr>
        <w:t xml:space="preserve">, an MAE of </w:t>
      </w:r>
      <w:r>
        <w:rPr>
          <w:rFonts w:ascii="Arial" w:cs="Arial" w:eastAsia="Arial" w:hAnsi="Arial"/>
          <w:b/>
          <w:bCs/>
          <w:sz w:val="22"/>
          <w:szCs w:val="22"/>
        </w:rPr>
        <w:t xml:space="preserve">$4,862.51</w:t>
      </w:r>
      <w:r>
        <w:rPr>
          <w:rFonts w:ascii="Arial" w:cs="Arial" w:eastAsia="Arial" w:hAnsi="Arial"/>
          <w:sz w:val="22"/>
          <w:szCs w:val="22"/>
        </w:rPr>
        <w:t xml:space="preserve">, and an R-squared of only </w:t>
      </w:r>
      <w:r>
        <w:rPr>
          <w:rFonts w:ascii="Arial" w:cs="Arial" w:eastAsia="Arial" w:hAnsi="Arial"/>
          <w:b/>
          <w:bCs/>
          <w:sz w:val="22"/>
          <w:szCs w:val="22"/>
        </w:rPr>
        <w:t xml:space="preserve">0.3792</w:t>
      </w:r>
      <w:r>
        <w:rPr>
          <w:rFonts w:ascii="Arial" w:cs="Arial" w:eastAsia="Arial" w:hAnsi="Arial"/>
          <w:sz w:val="22"/>
          <w:szCs w:val="22"/>
        </w:rPr>
        <w:t xml:space="preserve"> — substantially worse than the other three models. This suggests the combined penalty at alpha = 50 is too aggressive for this feature set; a dedicated grid search over both alpha and l1_ratio would be needed for a fair evaluation.</w:t>
      </w:r>
    </w:p>
    <w:p>
      <w:pPr>
        <w:pStyle w:val="Heading1"/>
        <w:spacing w:after="120" w:before="320"/>
      </w:pPr>
      <w:r>
        <w:rPr>
          <w:rFonts w:ascii="Arial" w:cs="Arial" w:eastAsia="Arial" w:hAnsi="Arial"/>
          <w:b/>
          <w:bCs/>
          <w:color w:val="1F3A5F"/>
          <w:sz w:val="34"/>
          <w:szCs w:val="34"/>
        </w:rPr>
        <w:t xml:space="preserve">6. Model Comparison and Evaluation</w:t>
      </w:r>
    </w:p>
    <w:p>
      <w:pPr>
        <w:pBdr>
          <w:bottom w:val="single" w:color="127C71" w:sz="8" w:space="1"/>
        </w:pBdr>
        <w:spacing w:after="120"/>
      </w:pPr>
    </w:p>
    <w:p>
      <w:pPr>
        <w:spacing w:after="120" w:line="280"/>
        <w:jc w:val="both"/>
      </w:pPr>
      <w:r>
        <w:rPr>
          <w:rFonts w:ascii="Arial" w:cs="Arial" w:eastAsia="Arial" w:hAnsi="Arial"/>
          <w:sz w:val="22"/>
          <w:szCs w:val="22"/>
        </w:rPr>
        <w:t xml:space="preserve">All four fitted models were applied to the same 41-row test set, and three standard regression metrics — RMSE, MAE, and R-squared — were computed for each.</w:t>
      </w:r>
    </w:p>
    <w:p>
      <w:pPr>
        <w:spacing w:after="80" w:before="180"/>
      </w:pPr>
      <w:r>
        <w:rPr>
          <w:rFonts w:ascii="Arial" w:cs="Arial" w:eastAsia="Arial" w:hAnsi="Arial"/>
          <w:b/>
          <w:bCs/>
          <w:color w:val="1F3A5F"/>
          <w:sz w:val="22"/>
          <w:szCs w:val="22"/>
        </w:rPr>
        <w:t xml:space="preserve">Table 8: Final Test-Set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900"/>
        <w:gridCol w:w="1900"/>
        <w:gridCol w:w="1500"/>
        <w:gridCol w:w="1500"/>
      </w:tblGrid>
      <w:tr>
        <w:trPr>
          <w:tblHeader/>
        </w:trPr>
        <w:tc>
          <w:tcPr>
            <w:tcW w:type="dxa" w:w="3226"/>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Model</w:t>
            </w:r>
          </w:p>
        </w:tc>
        <w:tc>
          <w:tcPr>
            <w:tcW w:type="dxa" w:w="19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RMSE (USD)</w:t>
            </w:r>
          </w:p>
        </w:tc>
        <w:tc>
          <w:tcPr>
            <w:tcW w:type="dxa" w:w="19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MAE (USD)</w:t>
            </w:r>
          </w:p>
        </w:tc>
        <w:tc>
          <w:tcPr>
            <w:tcW w:type="dxa" w:w="1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R-squared</w:t>
            </w:r>
          </w:p>
        </w:tc>
        <w:tc>
          <w:tcPr>
            <w:tcW w:type="dxa" w:w="1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Rank</w:t>
            </w:r>
          </w:p>
        </w:tc>
      </w:tr>
      <w:tr>
        <w:trPr>
          <w:tblHeader w:val="false"/>
        </w:trPr>
        <w:tc>
          <w:tcPr>
            <w:tcW w:type="dxa" w:w="32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Linear Regression</w:t>
            </w:r>
          </w:p>
        </w:tc>
        <w:tc>
          <w:tcPr>
            <w:tcW w:type="dxa" w:w="19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$2,669.93</w:t>
            </w:r>
          </w:p>
        </w:tc>
        <w:tc>
          <w:tcPr>
            <w:tcW w:type="dxa" w:w="19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$1,763.57</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0.9097</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1st</w:t>
            </w:r>
          </w:p>
        </w:tc>
      </w:tr>
      <w:tr>
        <w:trPr>
          <w:tblHeader w:val="false"/>
        </w:trPr>
        <w:tc>
          <w:tcPr>
            <w:tcW w:type="dxa" w:w="32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Ridge (alpha=10)</w:t>
            </w:r>
          </w:p>
        </w:tc>
        <w:tc>
          <w:tcPr>
            <w:tcW w:type="dxa" w:w="19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$2,928.00</w:t>
            </w:r>
          </w:p>
        </w:tc>
        <w:tc>
          <w:tcPr>
            <w:tcW w:type="dxa" w:w="19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$1,984.33</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0.8914</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2nd</w:t>
            </w:r>
          </w:p>
        </w:tc>
      </w:tr>
      <w:tr>
        <w:trPr>
          <w:tblHeader w:val="false"/>
        </w:trPr>
        <w:tc>
          <w:tcPr>
            <w:tcW w:type="dxa" w:w="3226"/>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Lasso (alpha=50)</w:t>
            </w:r>
          </w:p>
        </w:tc>
        <w:tc>
          <w:tcPr>
            <w:tcW w:type="dxa" w:w="19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$3,001.34</w:t>
            </w:r>
          </w:p>
        </w:tc>
        <w:tc>
          <w:tcPr>
            <w:tcW w:type="dxa" w:w="19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$2,090.68</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0.8859</w:t>
            </w:r>
          </w:p>
        </w:tc>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3rd</w:t>
            </w:r>
          </w:p>
        </w:tc>
      </w:tr>
      <w:tr>
        <w:trPr>
          <w:tblHeader w:val="false"/>
        </w:trPr>
        <w:tc>
          <w:tcPr>
            <w:tcW w:type="dxa" w:w="3226"/>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ElasticNet (alpha=50)</w:t>
            </w:r>
          </w:p>
        </w:tc>
        <w:tc>
          <w:tcPr>
            <w:tcW w:type="dxa" w:w="19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$7,000.77</w:t>
            </w:r>
          </w:p>
        </w:tc>
        <w:tc>
          <w:tcPr>
            <w:tcW w:type="dxa" w:w="19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$4,862.51</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0.3792</w:t>
            </w:r>
          </w:p>
        </w:tc>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4th</w:t>
            </w:r>
          </w:p>
        </w:tc>
      </w:tr>
    </w:tbl>
    <w:p/>
    <w:p>
      <w:pPr>
        <w:spacing w:after="80" w:before="180"/>
      </w:pPr>
      <w:r>
        <w:rPr>
          <w:rFonts w:ascii="Arial" w:cs="Arial" w:eastAsia="Arial" w:hAnsi="Arial"/>
          <w:b/>
          <w:bCs/>
          <w:color w:val="1F3A5F"/>
          <w:sz w:val="22"/>
          <w:szCs w:val="22"/>
        </w:rPr>
        <w:t xml:space="preserve">Table 9: Metric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13"/>
        <w:gridCol w:w="3513"/>
      </w:tblGrid>
      <w:tr>
        <w:trPr>
          <w:tblHeader/>
        </w:trPr>
        <w:tc>
          <w:tcPr>
            <w:tcW w:type="dxa" w:w="1500"/>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Metric</w:t>
            </w:r>
          </w:p>
        </w:tc>
        <w:tc>
          <w:tcPr>
            <w:tcW w:type="dxa" w:w="4013"/>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Formula</w:t>
            </w:r>
          </w:p>
        </w:tc>
        <w:tc>
          <w:tcPr>
            <w:tcW w:type="dxa" w:w="3513"/>
            <w:tcBorders>
              <w:top w:val="single" w:color="CCCCCC" w:sz="1"/>
              <w:left w:val="single" w:color="CCCCCC" w:sz="1"/>
              <w:bottom w:val="single" w:color="CCCCCC" w:sz="1"/>
              <w:right w:val="single" w:color="CCCCCC" w:sz="1"/>
            </w:tcBorders>
            <w:shd w:fill="1F3A5F" w:color="1F3A5F" w:val="clear"/>
            <w:tcMar>
              <w:top w:type="dxa" w:w="80"/>
              <w:left w:type="dxa" w:w="120"/>
              <w:bottom w:type="dxa" w:w="80"/>
              <w:right w:type="dxa" w:w="120"/>
            </w:tcMar>
            <w:vAlign w:val="center"/>
          </w:tcPr>
          <w:p>
            <w:pPr>
              <w:spacing w:after="40"/>
            </w:pPr>
            <w:r>
              <w:rPr>
                <w:rFonts w:ascii="Arial" w:cs="Arial" w:eastAsia="Arial" w:hAnsi="Arial"/>
                <w:b/>
                <w:bCs/>
                <w:color w:val="FFFFFF"/>
                <w:sz w:val="20"/>
                <w:szCs w:val="20"/>
              </w:rPr>
              <w:t xml:space="preserve">What it measures</w:t>
            </w:r>
          </w:p>
        </w:tc>
      </w:tr>
      <w:tr>
        <w:trPr>
          <w:tblHeader w:val="false"/>
        </w:trPr>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RMSE</w:t>
            </w:r>
          </w:p>
        </w:tc>
        <w:tc>
          <w:tcPr>
            <w:tcW w:type="dxa" w:w="4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sqrt( sum(y_i - y_pred_i)^2 / n )</w:t>
            </w:r>
          </w:p>
        </w:tc>
        <w:tc>
          <w:tcPr>
            <w:tcW w:type="dxa" w:w="35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Average error in USD, penalising larger errors more heavily</w:t>
            </w:r>
          </w:p>
        </w:tc>
      </w:tr>
      <w:tr>
        <w:trPr>
          <w:tblHeader w:val="false"/>
        </w:trPr>
        <w:tc>
          <w:tcPr>
            <w:tcW w:type="dxa" w:w="1500"/>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MAE</w:t>
            </w:r>
          </w:p>
        </w:tc>
        <w:tc>
          <w:tcPr>
            <w:tcW w:type="dxa" w:w="40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sum |y_i - y_pred_i| / n</w:t>
            </w:r>
          </w:p>
        </w:tc>
        <w:tc>
          <w:tcPr>
            <w:tcW w:type="dxa" w:w="3513"/>
            <w:tcBorders>
              <w:top w:val="single" w:color="CCCCCC" w:sz="1"/>
              <w:left w:val="single" w:color="CCCCCC" w:sz="1"/>
              <w:bottom w:val="single" w:color="CCCCCC" w:sz="1"/>
              <w:right w:val="single" w:color="CCCCCC" w:sz="1"/>
            </w:tcBorders>
            <w:shd w:fill="F2F4F7" w:color="F2F4F7"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Average absolute error in USD; robust to outliers</w:t>
            </w:r>
          </w:p>
        </w:tc>
      </w:tr>
      <w:tr>
        <w:trPr>
          <w:tblHeader w:val="false"/>
        </w:trPr>
        <w:tc>
          <w:tcPr>
            <w:tcW w:type="dxa" w:w="1500"/>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R-squared</w:t>
            </w:r>
          </w:p>
        </w:tc>
        <w:tc>
          <w:tcPr>
            <w:tcW w:type="dxa" w:w="40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1 - SS_residuals / SS_total</w:t>
            </w:r>
          </w:p>
        </w:tc>
        <w:tc>
          <w:tcPr>
            <w:tcW w:type="dxa" w:w="3513"/>
            <w:tcBorders>
              <w:top w:val="single" w:color="CCCCCC" w:sz="1"/>
              <w:left w:val="single" w:color="CCCCCC" w:sz="1"/>
              <w:bottom w:val="single" w:color="CCCCCC" w:sz="1"/>
              <w:right w:val="single" w:color="CCCCCC" w:sz="1"/>
            </w:tcBorders>
            <w:shd w:fill="FFFFFF" w:color="FFFFFF" w:val="clear"/>
            <w:tcMar>
              <w:top w:type="dxa" w:w="80"/>
              <w:left w:type="dxa" w:w="120"/>
              <w:bottom w:type="dxa" w:w="80"/>
              <w:right w:type="dxa" w:w="120"/>
            </w:tcMar>
            <w:vAlign w:val="center"/>
          </w:tcPr>
          <w:p>
            <w:pPr>
              <w:spacing w:after="40"/>
            </w:pPr>
            <w:r>
              <w:rPr>
                <w:rFonts w:ascii="Arial" w:cs="Arial" w:eastAsia="Arial" w:hAnsi="Arial"/>
                <w:b w:val="false"/>
                <w:bCs w:val="false"/>
                <w:color w:val="111111"/>
                <w:sz w:val="20"/>
                <w:szCs w:val="20"/>
              </w:rPr>
              <w:t xml:space="preserve">Fraction of price variance explained (1.0 = perfect fit)</w:t>
            </w:r>
          </w:p>
        </w:tc>
      </w:tr>
    </w:tbl>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7: Predicted vs actual price for each model (dashed line = perfect prediction)</w:t>
      </w:r>
    </w:p>
    <w:p>
      <w:r>
        <w:br w:type="page"/>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8: Residuals (actual minus predicted) plotted against predicted price for each model</w:t>
      </w:r>
    </w:p>
    <w:p>
      <w:pPr>
        <w:spacing w:after="60" w:before="120"/>
        <w:jc w:val="center"/>
      </w:pPr>
      <w:r>
        <w:drawing>
          <wp:inline distT="0" distB="0" distL="0" distR="0">
            <wp:extent cx="56673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114675"/>
                    </a:xfrm>
                    <a:prstGeom prst="rect">
                      <a:avLst/>
                    </a:prstGeom>
                  </pic:spPr>
                </pic:pic>
              </a:graphicData>
            </a:graphic>
          </wp:inline>
        </w:drawing>
      </w:r>
    </w:p>
    <w:p>
      <w:pPr>
        <w:spacing w:after="200"/>
        <w:jc w:val="center"/>
      </w:pPr>
      <w:r>
        <w:rPr>
          <w:rFonts w:ascii="Arial" w:cs="Arial" w:eastAsia="Arial" w:hAnsi="Arial"/>
          <w:i/>
          <w:iCs/>
          <w:color w:val="6B7280"/>
          <w:sz w:val="19"/>
          <w:szCs w:val="19"/>
        </w:rPr>
        <w:t xml:space="preserve">Figure 9: Side-by-side comparison of RMSE, MAE, and R-squared across all four models</w:t>
      </w:r>
    </w:p>
    <w:p>
      <w:r>
        <w:br w:type="page"/>
      </w:r>
    </w:p>
    <w:p>
      <w:pPr>
        <w:pStyle w:val="Heading1"/>
        <w:spacing w:after="120" w:before="320"/>
      </w:pPr>
      <w:r>
        <w:rPr>
          <w:rFonts w:ascii="Arial" w:cs="Arial" w:eastAsia="Arial" w:hAnsi="Arial"/>
          <w:b/>
          <w:bCs/>
          <w:color w:val="1F3A5F"/>
          <w:sz w:val="34"/>
          <w:szCs w:val="34"/>
        </w:rPr>
        <w:t xml:space="preserve">7. Results, Insights, and Conclusions</w:t>
      </w:r>
    </w:p>
    <w:p>
      <w:pPr>
        <w:pBdr>
          <w:bottom w:val="single" w:color="127C71" w:sz="8" w:space="1"/>
        </w:pBdr>
        <w:spacing w:after="120"/>
      </w:pPr>
    </w:p>
    <w:p>
      <w:pPr>
        <w:pStyle w:val="Heading2"/>
        <w:spacing w:after="80" w:before="220"/>
      </w:pPr>
      <w:r>
        <w:rPr>
          <w:rFonts w:ascii="Arial" w:cs="Arial" w:eastAsia="Arial" w:hAnsi="Arial"/>
          <w:b/>
          <w:bCs/>
          <w:color w:val="127C71"/>
          <w:sz w:val="28"/>
          <w:szCs w:val="28"/>
        </w:rPr>
        <w:t xml:space="preserve">7.1 Key Findings</w:t>
      </w:r>
    </w:p>
    <w:p>
      <w:pPr>
        <w:pStyle w:val="ListParagraph"/>
        <w:numPr>
          <w:ilvl w:val="0"/>
          <w:numId w:val="2"/>
        </w:numPr>
        <w:spacing w:after="80"/>
      </w:pPr>
      <w:r>
        <w:rPr>
          <w:rFonts w:ascii="Arial" w:cs="Arial" w:eastAsia="Arial" w:hAnsi="Arial"/>
          <w:b/>
          <w:bCs/>
          <w:sz w:val="22"/>
          <w:szCs w:val="22"/>
        </w:rPr>
        <w:t xml:space="preserve">Target distribution:</w:t>
      </w:r>
      <w:r>
        <w:rPr>
          <w:rFonts w:ascii="Arial" w:cs="Arial" w:eastAsia="Arial" w:hAnsi="Arial"/>
          <w:sz w:val="22"/>
          <w:szCs w:val="22"/>
        </w:rPr>
        <w:t xml:space="preserve"> Car prices range from $5,118 to $45,400 with a mean of $13,276.71, a median of $10,295.00, and a skewness of approximately 1.78 — the bulk of vehicles are modestly priced, with a smaller number of premium models pulling the average upward.</w:t>
      </w:r>
    </w:p>
    <w:p>
      <w:pPr>
        <w:pStyle w:val="ListParagraph"/>
        <w:numPr>
          <w:ilvl w:val="0"/>
          <w:numId w:val="2"/>
        </w:numPr>
        <w:spacing w:after="80"/>
      </w:pPr>
      <w:r>
        <w:rPr>
          <w:rFonts w:ascii="Arial" w:cs="Arial" w:eastAsia="Arial" w:hAnsi="Arial"/>
          <w:b/>
          <w:bCs/>
          <w:sz w:val="22"/>
          <w:szCs w:val="22"/>
        </w:rPr>
        <w:t xml:space="preserve">Strongest positive predictors:</w:t>
      </w:r>
      <w:r>
        <w:rPr>
          <w:rFonts w:ascii="Arial" w:cs="Arial" w:eastAsia="Arial" w:hAnsi="Arial"/>
          <w:sz w:val="22"/>
          <w:szCs w:val="22"/>
        </w:rPr>
        <w:t xml:space="preserve"> enginesize (r=0.874), curbweight (r=0.835), horsepower (r=0.808), and carwidth (r=0.759) are the attributes most strongly associated with higher prices — larger, more powerful cars cost more.</w:t>
      </w:r>
    </w:p>
    <w:p>
      <w:pPr>
        <w:pStyle w:val="ListParagraph"/>
        <w:numPr>
          <w:ilvl w:val="0"/>
          <w:numId w:val="2"/>
        </w:numPr>
        <w:spacing w:after="80"/>
      </w:pPr>
      <w:r>
        <w:rPr>
          <w:rFonts w:ascii="Arial" w:cs="Arial" w:eastAsia="Arial" w:hAnsi="Arial"/>
          <w:b/>
          <w:bCs/>
          <w:sz w:val="22"/>
          <w:szCs w:val="22"/>
        </w:rPr>
        <w:t xml:space="preserve">Strongest negative predictors:</w:t>
      </w:r>
      <w:r>
        <w:rPr>
          <w:rFonts w:ascii="Arial" w:cs="Arial" w:eastAsia="Arial" w:hAnsi="Arial"/>
          <w:sz w:val="22"/>
          <w:szCs w:val="22"/>
        </w:rPr>
        <w:t xml:space="preserve"> highwaympg (r=-0.698) and citympg (r=-0.686) move in the opposite direction to price — more fuel-efficient cars tend to be cheaper.</w:t>
      </w:r>
    </w:p>
    <w:p>
      <w:pPr>
        <w:pStyle w:val="ListParagraph"/>
        <w:numPr>
          <w:ilvl w:val="0"/>
          <w:numId w:val="2"/>
        </w:numPr>
        <w:spacing w:after="80"/>
      </w:pPr>
      <w:r>
        <w:rPr>
          <w:rFonts w:ascii="Arial" w:cs="Arial" w:eastAsia="Arial" w:hAnsi="Arial"/>
          <w:b/>
          <w:bCs/>
          <w:sz w:val="22"/>
          <w:szCs w:val="22"/>
        </w:rPr>
        <w:t xml:space="preserve">Brand effect:</w:t>
      </w:r>
      <w:r>
        <w:rPr>
          <w:rFonts w:ascii="Arial" w:cs="Arial" w:eastAsia="Arial" w:hAnsi="Arial"/>
          <w:sz w:val="22"/>
          <w:szCs w:val="22"/>
        </w:rPr>
        <w:t xml:space="preserve"> Manufacturer matters. Premium marques such as Jaguar, Buick, and Porsche carry average prices well above the dataset mean, even after accounting for specification differences.</w:t>
      </w:r>
    </w:p>
    <w:p>
      <w:pPr>
        <w:pStyle w:val="ListParagraph"/>
        <w:numPr>
          <w:ilvl w:val="0"/>
          <w:numId w:val="2"/>
        </w:numPr>
        <w:spacing w:after="80"/>
      </w:pPr>
      <w:r>
        <w:rPr>
          <w:rFonts w:ascii="Arial" w:cs="Arial" w:eastAsia="Arial" w:hAnsi="Arial"/>
          <w:b/>
          <w:bCs/>
          <w:sz w:val="22"/>
          <w:szCs w:val="22"/>
        </w:rPr>
        <w:t xml:space="preserve">Multicollinearity:</w:t>
      </w:r>
      <w:r>
        <w:rPr>
          <w:rFonts w:ascii="Arial" w:cs="Arial" w:eastAsia="Arial" w:hAnsi="Arial"/>
          <w:sz w:val="22"/>
          <w:szCs w:val="22"/>
        </w:rPr>
        <w:t xml:space="preserve"> citympg, highwaympg, and curbweight each exceed a VIF of 10, confirming that several numerical attributes are redundant with one another and motivating the use of regularized models.</w:t>
      </w:r>
    </w:p>
    <w:p>
      <w:pPr>
        <w:pStyle w:val="ListParagraph"/>
        <w:numPr>
          <w:ilvl w:val="0"/>
          <w:numId w:val="2"/>
        </w:numPr>
        <w:spacing w:after="80"/>
      </w:pPr>
      <w:r>
        <w:rPr>
          <w:rFonts w:ascii="Arial" w:cs="Arial" w:eastAsia="Arial" w:hAnsi="Arial"/>
          <w:b/>
          <w:bCs/>
          <w:sz w:val="22"/>
          <w:szCs w:val="22"/>
        </w:rPr>
        <w:t xml:space="preserve">Best performing model:</w:t>
      </w:r>
      <w:r>
        <w:rPr>
          <w:rFonts w:ascii="Arial" w:cs="Arial" w:eastAsia="Arial" w:hAnsi="Arial"/>
          <w:sz w:val="22"/>
          <w:szCs w:val="22"/>
        </w:rPr>
        <w:t xml:space="preserve"> Ordinary Linear Regression achieved the best test-set result overall (R-squared=0.9097, RMSE=$2,669.93), narrowly ahead of Ridge (R-squared=0.8914) and Lasso (R-squared=0.8859).</w:t>
      </w:r>
    </w:p>
    <w:p>
      <w:pPr>
        <w:pStyle w:val="ListParagraph"/>
        <w:numPr>
          <w:ilvl w:val="0"/>
          <w:numId w:val="2"/>
        </w:numPr>
        <w:spacing w:after="80"/>
      </w:pPr>
      <w:r>
        <w:rPr>
          <w:rFonts w:ascii="Arial" w:cs="Arial" w:eastAsia="Arial" w:hAnsi="Arial"/>
          <w:b/>
          <w:bCs/>
          <w:sz w:val="22"/>
          <w:szCs w:val="22"/>
        </w:rPr>
        <w:t xml:space="preserve">Feature selection via Lasso:</w:t>
      </w:r>
      <w:r>
        <w:rPr>
          <w:rFonts w:ascii="Arial" w:cs="Arial" w:eastAsia="Arial" w:hAnsi="Arial"/>
          <w:sz w:val="22"/>
          <w:szCs w:val="22"/>
        </w:rPr>
        <w:t xml:space="preserve"> At alpha=50, Lasso zeroed out 25 of 64 coefficients while retaining an R-squared of 0.8859, offering a more interpretable model with only a small accuracy trade-off versus the full OLS fit.</w:t>
      </w:r>
    </w:p>
    <w:p>
      <w:pPr>
        <w:pStyle w:val="ListParagraph"/>
        <w:numPr>
          <w:ilvl w:val="0"/>
          <w:numId w:val="2"/>
        </w:numPr>
        <w:spacing w:after="80"/>
      </w:pPr>
      <w:r>
        <w:rPr>
          <w:rFonts w:ascii="Arial" w:cs="Arial" w:eastAsia="Arial" w:hAnsi="Arial"/>
          <w:b/>
          <w:bCs/>
          <w:sz w:val="22"/>
          <w:szCs w:val="22"/>
        </w:rPr>
        <w:t xml:space="preserve">ElasticNet underperformance:</w:t>
      </w:r>
      <w:r>
        <w:rPr>
          <w:rFonts w:ascii="Arial" w:cs="Arial" w:eastAsia="Arial" w:hAnsi="Arial"/>
          <w:sz w:val="22"/>
          <w:szCs w:val="22"/>
        </w:rPr>
        <w:t xml:space="preserve"> At alpha=50 and l1_ratio=0.5, ElasticNet trailed all other models (R-squared=0.3792); a joint grid search over alpha and l1_ratio is recommended before drawing conclusions about its suitability.</w:t>
      </w:r>
    </w:p>
    <w:p/>
    <w:p>
      <w:pPr>
        <w:pStyle w:val="Heading2"/>
        <w:spacing w:after="80" w:before="220"/>
      </w:pPr>
      <w:r>
        <w:rPr>
          <w:rFonts w:ascii="Arial" w:cs="Arial" w:eastAsia="Arial" w:hAnsi="Arial"/>
          <w:b/>
          <w:bCs/>
          <w:color w:val="127C71"/>
          <w:sz w:val="28"/>
          <w:szCs w:val="28"/>
        </w:rPr>
        <w:t xml:space="preserve">7.2 Modelling Assumptions</w:t>
      </w:r>
    </w:p>
    <w:p>
      <w:pPr>
        <w:pStyle w:val="ListParagraph"/>
        <w:numPr>
          <w:ilvl w:val="0"/>
          <w:numId w:val="2"/>
        </w:numPr>
        <w:spacing w:after="80"/>
      </w:pPr>
      <w:r>
        <w:rPr>
          <w:rFonts w:ascii="Arial" w:cs="Arial" w:eastAsia="Arial" w:hAnsi="Arial"/>
          <w:sz w:val="22"/>
          <w:szCs w:val="22"/>
        </w:rPr>
        <w:t xml:space="preserve">The dataset contained no missing values, so no imputation was performed.</w:t>
      </w:r>
    </w:p>
    <w:p>
      <w:pPr>
        <w:pStyle w:val="ListParagraph"/>
        <w:numPr>
          <w:ilvl w:val="0"/>
          <w:numId w:val="2"/>
        </w:numPr>
        <w:spacing w:after="80"/>
      </w:pPr>
      <w:r>
        <w:rPr>
          <w:rFonts w:ascii="Arial" w:cs="Arial" w:eastAsia="Arial" w:hAnsi="Arial"/>
          <w:sz w:val="22"/>
          <w:szCs w:val="22"/>
        </w:rPr>
        <w:t xml:space="preserve">The car brand was taken to be the first whitespace-delimited token of CarName, lower-cased and corrected for known spelling variants.</w:t>
      </w:r>
    </w:p>
    <w:p>
      <w:pPr>
        <w:pStyle w:val="ListParagraph"/>
        <w:numPr>
          <w:ilvl w:val="0"/>
          <w:numId w:val="2"/>
        </w:numPr>
        <w:spacing w:after="80"/>
      </w:pPr>
      <w:r>
        <w:rPr>
          <w:rFonts w:ascii="Arial" w:cs="Arial" w:eastAsia="Arial" w:hAnsi="Arial"/>
          <w:sz w:val="22"/>
          <w:szCs w:val="22"/>
        </w:rPr>
        <w:t xml:space="preserve">Two-category attributes were label-encoded to 0/1; higher-cardinality categorical attributes were one-hot encoded with the first dummy dropped to avoid the dummy-variable trap.</w:t>
      </w:r>
    </w:p>
    <w:p>
      <w:pPr>
        <w:pStyle w:val="ListParagraph"/>
        <w:numPr>
          <w:ilvl w:val="0"/>
          <w:numId w:val="2"/>
        </w:numPr>
        <w:spacing w:after="80"/>
      </w:pPr>
      <w:r>
        <w:rPr>
          <w:rFonts w:ascii="Arial" w:cs="Arial" w:eastAsia="Arial" w:hAnsi="Arial"/>
          <w:sz w:val="22"/>
          <w:szCs w:val="22"/>
        </w:rPr>
        <w:t xml:space="preserve">StandardScaler was fitted only on the training partition and then applied to both partitions, to avoid information leakage from the test set.</w:t>
      </w:r>
    </w:p>
    <w:p>
      <w:pPr>
        <w:pStyle w:val="ListParagraph"/>
        <w:numPr>
          <w:ilvl w:val="0"/>
          <w:numId w:val="2"/>
        </w:numPr>
        <w:spacing w:after="80"/>
      </w:pPr>
      <w:r>
        <w:rPr>
          <w:rFonts w:ascii="Arial" w:cs="Arial" w:eastAsia="Arial" w:hAnsi="Arial"/>
          <w:sz w:val="22"/>
          <w:szCs w:val="22"/>
        </w:rPr>
        <w:t xml:space="preserve">An 80/20 train-test split with random_state=42 was used consistently for every model, so all four models are evaluated on an identical test set.</w:t>
      </w:r>
    </w:p>
    <w:p>
      <w:pPr>
        <w:pStyle w:val="ListParagraph"/>
        <w:numPr>
          <w:ilvl w:val="0"/>
          <w:numId w:val="2"/>
        </w:numPr>
        <w:spacing w:after="80"/>
      </w:pPr>
      <w:r>
        <w:rPr>
          <w:rFonts w:ascii="Arial" w:cs="Arial" w:eastAsia="Arial" w:hAnsi="Arial"/>
          <w:sz w:val="22"/>
          <w:szCs w:val="22"/>
        </w:rPr>
        <w:t xml:space="preserve">Outliers in enginesize and horsepower were treated as genuine high-performance vehicles rather than data errors, and were retained in the modelling data.</w:t>
      </w:r>
    </w:p>
    <w:p>
      <w:pPr>
        <w:pStyle w:val="ListParagraph"/>
        <w:numPr>
          <w:ilvl w:val="0"/>
          <w:numId w:val="2"/>
        </w:numPr>
        <w:spacing w:after="80"/>
      </w:pPr>
      <w:r>
        <w:rPr>
          <w:rFonts w:ascii="Arial" w:cs="Arial" w:eastAsia="Arial" w:hAnsi="Arial"/>
          <w:sz w:val="22"/>
          <w:szCs w:val="22"/>
        </w:rPr>
        <w:t xml:space="preserve">Ridge's alpha was tuned via 5-fold cross-validation on the training set only; Lasso and ElasticNet were run at a fixed alpha of 50, and ElasticNet at a fixed l1_ratio of 0.5, as a starting configuration rather than a fully optimised one.</w:t>
      </w:r>
    </w:p>
    <w:p>
      <w:pPr>
        <w:pStyle w:val="ListParagraph"/>
        <w:numPr>
          <w:ilvl w:val="0"/>
          <w:numId w:val="2"/>
        </w:numPr>
        <w:spacing w:after="80"/>
      </w:pPr>
      <w:r>
        <w:rPr>
          <w:rFonts w:ascii="Arial" w:cs="Arial" w:eastAsia="Arial" w:hAnsi="Arial"/>
          <w:sz w:val="22"/>
          <w:szCs w:val="22"/>
        </w:rPr>
        <w:t xml:space="preserve">All monetary figures are in US dollars as provided in the source data; no currency conversion was applied.</w:t>
      </w:r>
    </w:p>
    <w:p/>
    <w:p>
      <w:pPr>
        <w:pStyle w:val="Heading2"/>
        <w:spacing w:after="80" w:before="220"/>
      </w:pPr>
      <w:r>
        <w:rPr>
          <w:rFonts w:ascii="Arial" w:cs="Arial" w:eastAsia="Arial" w:hAnsi="Arial"/>
          <w:b/>
          <w:bCs/>
          <w:color w:val="127C71"/>
          <w:sz w:val="28"/>
          <w:szCs w:val="28"/>
        </w:rPr>
        <w:t xml:space="preserve">7.3 Recommendations for Geely Auto</w:t>
      </w:r>
    </w:p>
    <w:p>
      <w:pPr>
        <w:pStyle w:val="ListParagraph"/>
        <w:numPr>
          <w:ilvl w:val="0"/>
          <w:numId w:val="2"/>
        </w:numPr>
        <w:spacing w:after="80"/>
      </w:pPr>
      <w:r>
        <w:rPr>
          <w:rFonts w:ascii="Arial" w:cs="Arial" w:eastAsia="Arial" w:hAnsi="Arial"/>
          <w:sz w:val="22"/>
          <w:szCs w:val="22"/>
        </w:rPr>
        <w:t xml:space="preserve">Prioritise enginesize, curbweight, horsepower, and carwidth as the primary engineering levers when positioning a new model within a target price band.</w:t>
      </w:r>
    </w:p>
    <w:p>
      <w:pPr>
        <w:pStyle w:val="ListParagraph"/>
        <w:numPr>
          <w:ilvl w:val="0"/>
          <w:numId w:val="2"/>
        </w:numPr>
        <w:spacing w:after="80"/>
      </w:pPr>
      <w:r>
        <w:rPr>
          <w:rFonts w:ascii="Arial" w:cs="Arial" w:eastAsia="Arial" w:hAnsi="Arial"/>
          <w:sz w:val="22"/>
          <w:szCs w:val="22"/>
        </w:rPr>
        <w:t xml:space="preserve">Consider a log-transformation of price as the regression target in future iterations, given its positive skew, and re-evaluate whether this improves residual behaviour.</w:t>
      </w:r>
    </w:p>
    <w:p>
      <w:pPr>
        <w:pStyle w:val="ListParagraph"/>
        <w:numPr>
          <w:ilvl w:val="0"/>
          <w:numId w:val="2"/>
        </w:numPr>
        <w:spacing w:after="80"/>
      </w:pPr>
      <w:r>
        <w:rPr>
          <w:rFonts w:ascii="Arial" w:cs="Arial" w:eastAsia="Arial" w:hAnsi="Arial"/>
          <w:sz w:val="22"/>
          <w:szCs w:val="22"/>
        </w:rPr>
        <w:t xml:space="preserve">Investigate the citympg / highwaympg / curbweight cluster more closely; combining or removing one of these correlated measures could simplify the model without much loss of accuracy.</w:t>
      </w:r>
    </w:p>
    <w:p>
      <w:pPr>
        <w:pStyle w:val="ListParagraph"/>
        <w:numPr>
          <w:ilvl w:val="0"/>
          <w:numId w:val="2"/>
        </w:numPr>
        <w:spacing w:after="80"/>
      </w:pPr>
      <w:r>
        <w:rPr>
          <w:rFonts w:ascii="Arial" w:cs="Arial" w:eastAsia="Arial" w:hAnsi="Arial"/>
          <w:sz w:val="22"/>
          <w:szCs w:val="22"/>
        </w:rPr>
        <w:t xml:space="preserve">Re-run ElasticNet with a joint grid search over alpha and l1_ratio before drawing conclusions about its competitiveness against Ridge and Lasso.</w:t>
      </w:r>
    </w:p>
    <w:p>
      <w:pPr>
        <w:pStyle w:val="ListParagraph"/>
        <w:numPr>
          <w:ilvl w:val="0"/>
          <w:numId w:val="2"/>
        </w:numPr>
        <w:spacing w:after="80"/>
      </w:pPr>
      <w:r>
        <w:rPr>
          <w:rFonts w:ascii="Arial" w:cs="Arial" w:eastAsia="Arial" w:hAnsi="Arial"/>
          <w:sz w:val="22"/>
          <w:szCs w:val="22"/>
        </w:rPr>
        <w:t xml:space="preserve">Use the Lasso-selected feature subset (39 non-zero coefficients) as a starting point for a simplified, interpretable pricing model for stakeholder communication.</w:t>
      </w:r>
    </w:p>
    <w:p>
      <w:r>
        <w:br w:type="page"/>
      </w:r>
    </w:p>
    <w:p>
      <w:pPr>
        <w:pStyle w:val="Heading1"/>
        <w:spacing w:after="120" w:before="320"/>
      </w:pPr>
      <w:r>
        <w:rPr>
          <w:rFonts w:ascii="Arial" w:cs="Arial" w:eastAsia="Arial" w:hAnsi="Arial"/>
          <w:b/>
          <w:bCs/>
          <w:color w:val="1F3A5F"/>
          <w:sz w:val="34"/>
          <w:szCs w:val="34"/>
        </w:rPr>
        <w:t xml:space="preserve">8. References</w:t>
      </w:r>
    </w:p>
    <w:p>
      <w:pPr>
        <w:pBdr>
          <w:bottom w:val="single" w:color="127C71" w:sz="8" w:space="1"/>
        </w:pBdr>
        <w:spacing w:after="120"/>
      </w:pPr>
    </w:p>
    <w:p>
      <w:pPr>
        <w:spacing w:after="120"/>
      </w:pPr>
      <w:r>
        <w:rPr>
          <w:rFonts w:ascii="Arial" w:cs="Arial" w:eastAsia="Arial" w:hAnsi="Arial"/>
          <w:sz w:val="20"/>
          <w:szCs w:val="20"/>
        </w:rPr>
        <w:t xml:space="preserve">[1] GeeksforGeeks, "Ridge Regression vs Lasso Regression", available at https://www.geeksforgeeks.org/machine-learning/ridge-regression-vs-lasso-regression/</w:t>
      </w:r>
    </w:p>
    <w:p>
      <w:pPr>
        <w:spacing w:after="120"/>
      </w:pPr>
      <w:r>
        <w:rPr>
          <w:rFonts w:ascii="Arial" w:cs="Arial" w:eastAsia="Arial" w:hAnsi="Arial"/>
          <w:sz w:val="20"/>
          <w:szCs w:val="20"/>
        </w:rPr>
        <w:t xml:space="preserve">[2] DataCamp, "Lasso and Ridge Regression Tutorial", available at https://www.datacamp.com/tutorial/tutorial-lasso-ridge-regression</w:t>
      </w:r>
    </w:p>
    <w:p>
      <w:pPr>
        <w:spacing w:after="120"/>
      </w:pPr>
      <w:r>
        <w:rPr>
          <w:rFonts w:ascii="Arial" w:cs="Arial" w:eastAsia="Arial" w:hAnsi="Arial"/>
          <w:sz w:val="20"/>
          <w:szCs w:val="20"/>
        </w:rPr>
        <w:t xml:space="preserve">[3] GeeksforGeeks, "One Hot Encoding vs Label Encoding", available at https://www.geeksforgeeks.org/machine-learning/one-hot-encoding-vs-label-encoding/</w:t>
      </w:r>
    </w:p>
    <w:p>
      <w:pPr>
        <w:spacing w:after="120"/>
      </w:pPr>
      <w:r>
        <w:rPr>
          <w:rFonts w:ascii="Arial" w:cs="Arial" w:eastAsia="Arial" w:hAnsi="Arial"/>
          <w:sz w:val="20"/>
          <w:szCs w:val="20"/>
        </w:rPr>
        <w:t xml:space="preserve">[4] GeeksforGeeks, "Feature Engineering: Scaling, Normalization, and Standardization", available at https://www.geeksforgeeks.org/machine-learning/feature-engineering-scaling-normalization-and-standardization/</w:t>
      </w:r>
    </w:p>
    <w:p>
      <w:pPr>
        <w:spacing w:after="120"/>
      </w:pPr>
      <w:r>
        <w:rPr>
          <w:rFonts w:ascii="Arial" w:cs="Arial" w:eastAsia="Arial" w:hAnsi="Arial"/>
          <w:sz w:val="20"/>
          <w:szCs w:val="20"/>
        </w:rPr>
        <w:t xml:space="preserve">[5] GeeksforGeeks, "Regression Metrics", available at https://www.geeksforgeeks.org/machine-learning/regression-metrics/</w:t>
      </w:r>
    </w:p>
    <w:p>
      <w:pPr>
        <w:spacing w:after="120"/>
      </w:pPr>
      <w:r>
        <w:rPr>
          <w:rFonts w:ascii="Arial" w:cs="Arial" w:eastAsia="Arial" w:hAnsi="Arial"/>
          <w:sz w:val="20"/>
          <w:szCs w:val="20"/>
        </w:rPr>
        <w:t xml:space="preserve">[6] S. Kumawat, "Performance Metrics for Regression", Medium, available at https://medium.com/@Sunil_Kumawat/performance-metrics-for-regression-39d43d9ba2e0</w:t>
      </w:r>
    </w:p>
    <w:p>
      <w:pPr>
        <w:spacing w:after="120"/>
      </w:pPr>
      <w:r>
        <w:rPr>
          <w:rFonts w:ascii="Arial" w:cs="Arial" w:eastAsia="Arial" w:hAnsi="Arial"/>
          <w:sz w:val="20"/>
          <w:szCs w:val="20"/>
        </w:rPr>
        <w:t xml:space="preserve">[7] GeeksforGeeks, "Detecting Multicollinearity with VIF in Python", available at https://www.geeksforgeeks.org/python/detecting-multicollinearity-with-vif-python/</w:t>
      </w:r>
    </w:p>
    <w:p>
      <w:pPr>
        <w:spacing w:after="120"/>
      </w:pPr>
      <w:r>
        <w:rPr>
          <w:rFonts w:ascii="Arial" w:cs="Arial" w:eastAsia="Arial" w:hAnsi="Arial"/>
          <w:sz w:val="20"/>
          <w:szCs w:val="20"/>
        </w:rPr>
        <w:t xml:space="preserve">[8] scikit-learn developers, "Linear Models", scikit-learn documentation, available at https://scikit-learn.org/stable/modules/linear_model.html</w:t>
      </w:r>
    </w:p>
    <w:p>
      <w:pPr>
        <w:spacing w:after="120"/>
      </w:pPr>
      <w:r>
        <w:rPr>
          <w:rFonts w:ascii="Arial" w:cs="Arial" w:eastAsia="Arial" w:hAnsi="Arial"/>
          <w:sz w:val="20"/>
          <w:szCs w:val="20"/>
        </w:rPr>
        <w:t xml:space="preserve">[9] CarPrice_Assignment.csv dataset, sourced via GitHub (SampattKumar/Linear-Regression-Car-Dataset)</w:t>
      </w:r>
    </w:p>
    <w:p>
      <w:pPr>
        <w:spacing w:after="120"/>
      </w:pPr>
      <w:r>
        <w:rPr>
          <w:rFonts w:ascii="Arial" w:cs="Arial" w:eastAsia="Arial" w:hAnsi="Arial"/>
          <w:sz w:val="20"/>
          <w:szCs w:val="20"/>
        </w:rPr>
        <w:t xml:space="preserve">[10] MBulah, "RR Car Price Prediction — Project Source Code", GitHub, available at https://github.com/bulah16/C4-Project.git</w:t>
      </w:r>
    </w:p>
    <w:p/>
    <w:p/>
    <w:p>
      <w:pPr>
        <w:pBdr>
          <w:top w:val="single" w:color="127C71" w:sz="4" w:space="1"/>
        </w:pBdr>
        <w:spacing w:before="120"/>
      </w:pPr>
    </w:p>
    <w:p>
      <w:pPr>
        <w:spacing w:before="100"/>
        <w:jc w:val="center"/>
      </w:pPr>
      <w:r>
        <w:rPr>
          <w:rFonts w:ascii="Arial" w:cs="Arial" w:eastAsia="Arial" w:hAnsi="Arial"/>
          <w:i/>
          <w:iCs/>
          <w:color w:val="6B7280"/>
          <w:sz w:val="19"/>
          <w:szCs w:val="19"/>
        </w:rPr>
        <w:t xml:space="preserve">End of Report — Car Price Prediction Using Regularized Regression | Author: MBulah | June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1"/>
      </w:pBdr>
      <w:tabs>
        <w:tab w:val="right" w:pos="9026"/>
      </w:tabs>
      <w:spacing w:before="80"/>
    </w:pPr>
    <w:r>
      <w:rPr>
        <w:rFonts w:ascii="Arial" w:cs="Arial" w:eastAsia="Arial" w:hAnsi="Arial"/>
        <w:color w:val="6B7280"/>
        <w:sz w:val="18"/>
        <w:szCs w:val="18"/>
      </w:rPr>
      <w:t xml:space="preserve">Machine Learning | Regression Analysis</w:t>
    </w:r>
    <w:r>
      <w:rPr>
        <w:rFonts w:ascii="Arial" w:cs="Arial" w:eastAsia="Arial" w:hAnsi="Arial"/>
        <w:color w:val="6B7280"/>
        <w:sz w:val="18"/>
        <w:szCs w:val="18"/>
      </w:rPr>
      <w:t xml:space="preserve">	Page </w:t>
    </w:r>
    <w:r>
      <w:rPr>
        <w:rFonts w:ascii="Arial" w:cs="Arial" w:eastAsia="Arial" w:hAnsi="Arial"/>
        <w:color w:val="6B7280"/>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27C71" w:sz="6" w:space="1"/>
      </w:pBdr>
      <w:spacing w:after="120"/>
    </w:pPr>
    <w:r>
      <w:rPr>
        <w:rFonts w:ascii="Arial" w:cs="Arial" w:eastAsia="Arial" w:hAnsi="Arial"/>
        <w:color w:val="6B7280"/>
        <w:sz w:val="18"/>
        <w:szCs w:val="18"/>
      </w:rPr>
      <w:t xml:space="preserve">Car Price Prediction Using Regularized Regression  |  MBulah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20"/>
      <w:outlineLvl w:val="0"/>
    </w:pPr>
    <w:rPr>
      <w:rFonts w:ascii="Arial" w:cs="Arial" w:eastAsia="Arial" w:hAnsi="Arial"/>
      <w:b/>
      <w:bCs/>
      <w:color w:val="1F3A5F"/>
      <w:sz w:val="34"/>
      <w:szCs w:val="34"/>
    </w:rPr>
  </w:style>
  <w:style w:type="paragraph" w:styleId="Heading2">
    <w:name w:val="Heading 2"/>
    <w:basedOn w:val="Normal"/>
    <w:next w:val="Normal"/>
    <w:pPr>
      <w:spacing w:after="80" w:before="220"/>
      <w:outlineLvl w:val="1"/>
    </w:pPr>
    <w:rPr>
      <w:rFonts w:ascii="Arial" w:cs="Arial" w:eastAsia="Arial" w:hAnsi="Arial"/>
      <w:b/>
      <w:bCs/>
      <w:color w:val="127C71"/>
      <w:sz w:val="28"/>
      <w:szCs w:val="28"/>
    </w:rPr>
  </w:style>
  <w:style w:type="paragraph" w:styleId="Heading3">
    <w:name w:val="Heading 3"/>
    <w:basedOn w:val="Normal"/>
    <w:next w:val="Normal"/>
    <w:pPr>
      <w:spacing w:after="60" w:before="16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dbb9a5ec83745203d903f9f74b37af3a32fa4.png"/><Relationship Id="rId10" Type="http://schemas.openxmlformats.org/officeDocument/2006/relationships/image" Target="media/a5e96b325f31bed24990abf760f257b7181022c9.png"/><Relationship Id="rId11" Type="http://schemas.openxmlformats.org/officeDocument/2006/relationships/image" Target="media/60bd4161f49f581f52f6de7141543c41ce2c9479.png"/><Relationship Id="rId12" Type="http://schemas.openxmlformats.org/officeDocument/2006/relationships/image" Target="media/69c8057829457f552612e1a0ebe4b9dad11b35f6.png"/><Relationship Id="rId13" Type="http://schemas.openxmlformats.org/officeDocument/2006/relationships/image" Target="media/23b3647690325216d07ef8a357b7d47e535f9cc3.png"/><Relationship Id="rId14" Type="http://schemas.openxmlformats.org/officeDocument/2006/relationships/image" Target="media/bb996ce0f47839d6f77b7e67709e16da3c518e23.png"/><Relationship Id="rId15" Type="http://schemas.openxmlformats.org/officeDocument/2006/relationships/image" Target="media/6511651026bad076c7751396c88c5da1f411c694.png"/><Relationship Id="rId16" Type="http://schemas.openxmlformats.org/officeDocument/2006/relationships/image" Target="media/fd60f4d200d9e13ce09680b56bc85afe03406b80.png"/><Relationship Id="rId17" Type="http://schemas.openxmlformats.org/officeDocument/2006/relationships/image" Target="media/6caddc67c8383b0e511c3cd0c751c4028616c5ba.png"/><Relationship Id="rId18" Type="http://schemas.openxmlformats.org/officeDocument/2006/relationships/image" Target="media/d2292105c4c3e7a5afb5cc6e61daab50a7c0e19e.png"/><Relationship Id="rId19" Type="http://schemas.openxmlformats.org/officeDocument/2006/relationships/image" Target="media/851af604be46109c68ed4e661fbb303aa33077a6.png"/><Relationship Id="rId20" Type="http://schemas.openxmlformats.org/officeDocument/2006/relationships/image" Target="media/264e636739468bf9999db0e472249fe7bbb5361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2026-06-15T05:02:23.425Z</dcterms:created>
  <dcterms:modified xsi:type="dcterms:W3CDTF">2026-06-15T05:02:23.438Z</dcterms:modified>
</cp:coreProperties>
</file>

<file path=docProps/custom.xml><?xml version="1.0" encoding="utf-8"?>
<Properties xmlns="http://schemas.openxmlformats.org/officeDocument/2006/custom-properties" xmlns:vt="http://schemas.openxmlformats.org/officeDocument/2006/docPropsVTypes"/>
</file>