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  <w:jc w:val="center"/>
      </w:pPr>
      <w:r>
        <w:rPr>
          <w:rFonts w:ascii="Calibri" w:hAnsi="Calibri" w:cs="Calibri" w:eastAsia="Calibri"/>
          <w:b w:val="0"/>
          <w:color w:val="1A568C"/>
          <w:sz w:val="28"/>
        </w:rPr>
        <w:t>Отчет о продвижении сайта</w:t>
      </w:r>
    </w:p>
    <w:p>
      <w:pPr>
        <w:spacing w:after="280" w:before="0" w:line="276" w:lineRule="auto"/>
        <w:jc w:val="center"/>
      </w:pPr>
      <w:r>
        <w:rPr>
          <w:rFonts w:ascii="Calibri" w:hAnsi="Calibri" w:cs="Calibri" w:eastAsia="Calibri"/>
          <w:b/>
          <w:color w:val="1F3864"/>
          <w:sz w:val="52"/>
        </w:rPr>
        <w:t>центр-каталогизации.рф</w:t>
      </w:r>
    </w:p>
    <w:p>
      <w:pPr>
        <w:spacing w:after="40" w:before="0" w:line="276" w:lineRule="auto"/>
        <w:jc w:val="center"/>
      </w:pPr>
      <w:r>
        <w:rPr>
          <w:rFonts w:ascii="Calibri" w:hAnsi="Calibri" w:cs="Calibri" w:eastAsia="Calibri"/>
          <w:b/>
          <w:color w:val="1F3864"/>
          <w:sz w:val="24"/>
        </w:rPr>
        <w:t>Отчетный период с 1 июля 2026 по 30 июля 2026</w:t>
      </w:r>
    </w:p>
    <w:p>
      <w:pPr>
        <w:spacing w:after="120" w:before="0" w:line="276" w:lineRule="auto"/>
        <w:jc w:val="center"/>
      </w:pPr>
      <w:r>
        <w:rPr>
          <w:rFonts w:ascii="Calibri" w:hAnsi="Calibri" w:cs="Calibri" w:eastAsia="Calibri"/>
          <w:b w:val="0"/>
          <w:color w:val="5A6472"/>
          <w:sz w:val="24"/>
        </w:rPr>
        <w:t>в сравнении с периодом с 1 июня 2026 по 30 июня 2026</w:t>
      </w:r>
    </w:p>
    <w:p>
      <w:pPr>
        <w:spacing w:after="360" w:before="0" w:line="276" w:lineRule="auto"/>
        <w:jc w:val="center"/>
      </w:pPr>
      <w:r>
        <w:rPr>
          <w:rFonts w:ascii="Calibri" w:hAnsi="Calibri" w:cs="Calibri" w:eastAsia="Calibri"/>
          <w:b w:val="0"/>
          <w:color w:val="5A6472"/>
          <w:sz w:val="18"/>
        </w:rPr>
        <w:t>Год к году (июль 2025) в исходных выгрузках Метрики не приложен — блок отмечен отдельно.</w:t>
      </w: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2"/>
        </w:rPr>
        <w:t>Содержание отчета</w:t>
      </w:r>
    </w:p>
    <w:p>
      <w:pPr>
        <w:spacing w:after="6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1.  Список проведенных работ</w:t>
      </w:r>
    </w:p>
    <w:p>
      <w:pPr>
        <w:spacing w:after="6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2.  Общая посещаемость и поведенческие факторы</w:t>
      </w:r>
    </w:p>
    <w:p>
      <w:pPr>
        <w:spacing w:after="6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3.  Переходы из поисковых систем</w:t>
      </w:r>
    </w:p>
    <w:p>
      <w:pPr>
        <w:spacing w:after="6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4.  Распределение трафика по каналам</w:t>
      </w:r>
    </w:p>
    <w:p>
      <w:pPr>
        <w:spacing w:after="6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5.  Тип устройств, с которых были переходы за отчетный период</w:t>
      </w:r>
    </w:p>
    <w:p>
      <w:pPr>
        <w:spacing w:after="6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6.  География посетителей</w:t>
      </w:r>
    </w:p>
    <w:p>
      <w:pPr>
        <w:spacing w:after="6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7.  Динамика поискового трафика</w:t>
      </w:r>
    </w:p>
    <w:p>
      <w:pPr>
        <w:spacing w:after="6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8.  Поисковый трафик за отчетный период в сравнении с аналогичным периодом за прошлый год</w:t>
      </w:r>
    </w:p>
    <w:p>
      <w:pPr>
        <w:spacing w:after="6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9.  Динамика переходов из поисковых систем за отчетный период</w:t>
      </w:r>
    </w:p>
    <w:p>
      <w:pPr>
        <w:spacing w:after="6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10.  Популярные посадочные страницы по всем источникам</w:t>
      </w:r>
    </w:p>
    <w:p>
      <w:pPr>
        <w:spacing w:after="6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11.  Популярные поисковые фразы</w:t>
      </w:r>
    </w:p>
    <w:p>
      <w:pPr>
        <w:spacing w:after="6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12.  Переходы с сайтов</w:t>
      </w:r>
    </w:p>
    <w:p>
      <w:pPr>
        <w:spacing w:after="6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13.  Популярные посадочные страницы из поисковых систем</w:t>
      </w:r>
    </w:p>
    <w:p>
      <w:pPr>
        <w:spacing w:after="60" w:before="0" w:line="276" w:lineRule="auto"/>
        <w:jc w:val="left"/>
      </w:pPr>
      <w:r>
        <w:rPr>
          <w:rFonts w:ascii="Calibri" w:hAnsi="Calibri" w:cs="Calibri" w:eastAsia="Calibri"/>
          <w:b w:val="0"/>
          <w:color w:val="1F3864"/>
          <w:sz w:val="22"/>
        </w:rPr>
        <w:t>14.  Источники цифр и что снять в следующем цикле</w:t>
      </w:r>
    </w:p>
    <w:p>
      <w:pPr>
        <w:spacing w:after="200" w:before="0" w:line="276" w:lineRule="auto"/>
        <w:jc w:val="left"/>
      </w:pPr>
      <w:r>
        <w:rPr>
          <w:rFonts w:ascii="Calibri" w:hAnsi="Calibri" w:cs="Calibri" w:eastAsia="Calibri"/>
          <w:b w:val="0"/>
          <w:color w:val="5A6472"/>
          <w:sz w:val="18"/>
        </w:rPr>
        <w:t>Цифры — Яндекс.Метрика, счётчик 98614192. Июль снят 30.07.2026 (1–30 июля), сравнение с 1–30 июня 2026. Это тот же счётчик на старой (июнь) и новой (июль) версии сайта.</w:t>
      </w: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2"/>
        </w:rPr>
        <w:t>Список проведенных работ</w:t>
      </w:r>
    </w:p>
    <w:p>
      <w:pPr>
        <w:spacing w:after="160" w:before="0" w:line="276" w:lineRule="auto"/>
        <w:jc w:val="both"/>
      </w:pPr>
      <w:r>
        <w:rPr>
          <w:rFonts w:ascii="Calibri" w:hAnsi="Calibri" w:cs="Calibri" w:eastAsia="Calibri"/>
          <w:b w:val="0"/>
          <w:sz w:val="22"/>
        </w:rPr>
        <w:t>Задачи периода: закрепить новую структуру сайта после смены адресов, не потерять поисковый трафик со старых URL и собрать первую чистую картину Метрики по новой версии.</w:t>
      </w:r>
    </w:p>
    <w:p>
      <w:pPr>
        <w:spacing w:after="80" w:before="0" w:line="276" w:lineRule="auto"/>
        <w:jc w:val="both"/>
      </w:pPr>
      <w:r>
        <w:rPr>
          <w:rFonts w:ascii="Calibri" w:hAnsi="Calibri" w:cs="Calibri" w:eastAsia="Calibri"/>
          <w:b w:val="0"/>
          <w:sz w:val="22"/>
        </w:rPr>
        <w:t>1. Сопровождение новой версии сайта: короткие адреса (/catalogization, /about, /contacts, услуги) вместо старых длинных путей /uslugi/, /o-kompanii/, /kontakty/.</w:t>
      </w:r>
    </w:p>
    <w:p>
      <w:pPr>
        <w:spacing w:after="80" w:before="0" w:line="276" w:lineRule="auto"/>
        <w:jc w:val="both"/>
      </w:pPr>
      <w:r>
        <w:rPr>
          <w:rFonts w:ascii="Calibri" w:hAnsi="Calibri" w:cs="Calibri" w:eastAsia="Calibri"/>
          <w:b w:val="0"/>
          <w:sz w:val="22"/>
        </w:rPr>
        <w:t>2. 21 июля — уточнены 301-редиректы со старых URL раздела /uslugi на актуальные страницы услуг, чтобы переходы из поиска не упирались в 404.</w:t>
      </w:r>
    </w:p>
    <w:p>
      <w:pPr>
        <w:spacing w:after="80" w:before="0" w:line="276" w:lineRule="auto"/>
        <w:jc w:val="both"/>
      </w:pPr>
      <w:r>
        <w:rPr>
          <w:rFonts w:ascii="Calibri" w:hAnsi="Calibri" w:cs="Calibri" w:eastAsia="Calibri"/>
          <w:b w:val="0"/>
          <w:sz w:val="22"/>
        </w:rPr>
        <w:t>3. Доработка главной страницы и раздела статей (контент и блоки на новой вёрстке).</w:t>
      </w:r>
    </w:p>
    <w:p>
      <w:pPr>
        <w:spacing w:after="80" w:before="0" w:line="276" w:lineRule="auto"/>
        <w:jc w:val="both"/>
      </w:pPr>
      <w:r>
        <w:rPr>
          <w:rFonts w:ascii="Calibri" w:hAnsi="Calibri" w:cs="Calibri" w:eastAsia="Calibri"/>
          <w:b w:val="0"/>
          <w:sz w:val="22"/>
        </w:rPr>
        <w:t>4. Описание блока новостей вынесено в настройки раздела.</w:t>
      </w:r>
    </w:p>
    <w:p>
      <w:pPr>
        <w:spacing w:after="80" w:before="0" w:line="276" w:lineRule="auto"/>
        <w:jc w:val="both"/>
      </w:pPr>
      <w:r>
        <w:rPr>
          <w:rFonts w:ascii="Calibri" w:hAnsi="Calibri" w:cs="Calibri" w:eastAsia="Calibri"/>
          <w:b w:val="0"/>
          <w:sz w:val="22"/>
        </w:rPr>
        <w:t>5. Контроль единого счётчика Яндекс.Метрики 98614192 на обеих версиях сайта.</w:t>
      </w:r>
    </w:p>
    <w:p>
      <w:pPr>
        <w:spacing w:after="80" w:before="0" w:line="276" w:lineRule="auto"/>
        <w:jc w:val="both"/>
      </w:pPr>
      <w:r>
        <w:rPr>
          <w:rFonts w:ascii="Calibri" w:hAnsi="Calibri" w:cs="Calibri" w:eastAsia="Calibri"/>
          <w:b w:val="0"/>
          <w:sz w:val="22"/>
        </w:rPr>
        <w:t>6. Сбор отчётности: источники, страницы входа, поисковые фразы, цель «клик по номеру телефона»; сверка заявок с сайта.</w:t>
      </w:r>
    </w:p>
    <w:p>
      <w:pPr>
        <w:spacing w:after="80" w:before="0" w:line="276" w:lineRule="auto"/>
        <w:jc w:val="both"/>
      </w:pPr>
      <w:r>
        <w:rPr>
          <w:rFonts w:ascii="Calibri" w:hAnsi="Calibri" w:cs="Calibri" w:eastAsia="Calibri"/>
          <w:b w:val="0"/>
          <w:sz w:val="22"/>
        </w:rPr>
        <w:t>7. Семантика и мета-теги ключевых посадочных (каталогизация / ГОЗ / СФО / ФКП) — ядро ведётся в рабочем xlsx; в августе приоритет — title и description, где в выдаче много показов и мало кликов.</w:t>
      </w:r>
    </w:p>
    <w:p>
      <w:pPr>
        <w:spacing w:after="120" w:before="160" w:line="276" w:lineRule="auto"/>
        <w:jc w:val="left"/>
      </w:pPr>
      <w:r>
        <w:rPr>
          <w:rFonts w:ascii="Calibri" w:hAnsi="Calibri" w:cs="Calibri" w:eastAsia="Calibri"/>
          <w:b/>
          <w:color w:val="1F3864"/>
          <w:sz w:val="24"/>
        </w:rPr>
        <w:t>Итоги месяца</w:t>
      </w:r>
    </w:p>
    <w:p>
      <w:pPr>
        <w:spacing w:after="160" w:before="0" w:line="276" w:lineRule="auto"/>
        <w:jc w:val="both"/>
      </w:pPr>
      <w:r>
        <w:rPr>
          <w:rFonts w:ascii="Calibri" w:hAnsi="Calibri" w:cs="Calibri" w:eastAsia="Calibri"/>
          <w:b w:val="0"/>
          <w:sz w:val="22"/>
        </w:rPr>
        <w:t>Новая версия сильнее старой по объёму и качеству сессий: визиты 457 против 298 (+53%), отказы 18,6% против 25,5%. Доля поиска выросла примерно до 74%. Яндекс: 269 визитов (+74%), Google: 67 (+168%). Телефонные клики остались 3 = 3 при росте трафика — лиды не выросли пропорционально визитам. На новой версии зафиксированы 8 заявок с сайта (со старой версии сравнительной базы по заявкам нет). В выдаче уже есть и бренд, и коммерческие/информационные запросы; кликов по небренду пока мало — нужны правки сниппетов, а не новый объём «ради трафика».</w:t>
      </w:r>
    </w:p>
    <w:p>
      <w:pPr>
        <w:spacing w:after="80" w:before="80" w:line="276" w:lineRule="auto"/>
        <w:jc w:val="left"/>
      </w:pPr>
      <w:r>
        <w:rPr>
          <w:rFonts w:ascii="Calibri" w:hAnsi="Calibri" w:cs="Calibri" w:eastAsia="Calibri"/>
          <w:b/>
          <w:color w:val="1F3864"/>
          <w:sz w:val="24"/>
        </w:rPr>
        <w:t>Позиции</w:t>
      </w:r>
    </w:p>
    <w:p>
      <w:pPr>
        <w:spacing w:after="160" w:before="0" w:line="276" w:lineRule="auto"/>
        <w:jc w:val="both"/>
      </w:pPr>
      <w:r>
        <w:rPr>
          <w:rFonts w:ascii="Calibri" w:hAnsi="Calibri" w:cs="Calibri" w:eastAsia="Calibri"/>
          <w:b w:val="0"/>
          <w:sz w:val="22"/>
        </w:rPr>
        <w:t>Отдельный трекер позиций (Topvisor и аналоги) в июле не вёлся — проценты «доля запросов в ТОП» по России и Санкт-Петербургу в этот отчёт не подставляем. Косвенно: органика выросла, бренд в поиске отрабатывает, коммерческие посадки в зоне средних позиций (ориентир Вебмастера ~6–9) при низком CTR на ряде URL. Для следующего отчёта нужен снимок ТОП по гео «Россия» и «Санкт-Петербург», Яндекс и Google.</w:t>
      </w:r>
    </w:p>
    <w:p>
      <w:pPr>
        <w:spacing w:after="80" w:before="80" w:line="276" w:lineRule="auto"/>
        <w:jc w:val="left"/>
      </w:pPr>
      <w:r>
        <w:rPr>
          <w:rFonts w:ascii="Calibri" w:hAnsi="Calibri" w:cs="Calibri" w:eastAsia="Calibri"/>
          <w:b/>
          <w:color w:val="1F3864"/>
          <w:sz w:val="24"/>
        </w:rPr>
        <w:t>Конверсии</w:t>
      </w:r>
    </w:p>
    <w:p>
      <w:pPr>
        <w:spacing w:after="120" w:before="0" w:line="276" w:lineRule="auto"/>
        <w:jc w:val="both"/>
      </w:pPr>
      <w:r>
        <w:rPr>
          <w:rFonts w:ascii="Calibri" w:hAnsi="Calibri" w:cs="Calibri" w:eastAsia="Calibri"/>
          <w:b w:val="0"/>
          <w:sz w:val="22"/>
        </w:rPr>
        <w:t>Сегмент «только поисковый трафик» по целям в пакете выгрузок не приложен. Ниже — цели по всему трафику сайта, июль vs июнь: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DD6"/>
          <w:left w:val="single" w:sz="4" w:space="0" w:color="C5CDD6"/>
          <w:bottom w:val="single" w:sz="4" w:space="0" w:color="C5CDD6"/>
          <w:right w:val="single" w:sz="4" w:space="0" w:color="C5CDD6"/>
          <w:insideH w:val="single" w:sz="4" w:space="0" w:color="C5CDD6"/>
          <w:insideV w:val="single" w:sz="4" w:space="0" w:color="C5CDD6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721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Цель</w:t>
            </w:r>
          </w:p>
        </w:tc>
        <w:tc>
          <w:tcPr>
            <w:tcW w:type="dxa" w:w="1928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Июнь 2026</w:t>
            </w:r>
          </w:p>
        </w:tc>
        <w:tc>
          <w:tcPr>
            <w:tcW w:type="dxa" w:w="1928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Июль 2026</w:t>
            </w:r>
          </w:p>
        </w:tc>
        <w:tc>
          <w:tcPr>
            <w:tcW w:type="dxa" w:w="2835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272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Клик по номеру телефона</w:t>
            </w:r>
          </w:p>
        </w:tc>
        <w:tc>
          <w:tcPr>
            <w:tcW w:type="dxa" w:w="1928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3 целевых визита</w:t>
            </w:r>
          </w:p>
        </w:tc>
        <w:tc>
          <w:tcPr>
            <w:tcW w:type="dxa" w:w="1928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3 целевых визита</w:t>
            </w:r>
          </w:p>
        </w:tc>
        <w:tc>
          <w:tcPr>
            <w:tcW w:type="dxa" w:w="2835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Абсолют не вырос при +53% визитов</w:t>
            </w:r>
          </w:p>
        </w:tc>
      </w:tr>
      <w:tr>
        <w:trPr>
          <w:cantSplit/>
        </w:trPr>
        <w:tc>
          <w:tcPr>
            <w:tcW w:type="dxa" w:w="2721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CR телефон от всех визитов</w:t>
            </w:r>
          </w:p>
        </w:tc>
        <w:tc>
          <w:tcPr>
            <w:tcW w:type="dxa" w:w="1928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~1,0%</w:t>
            </w:r>
          </w:p>
        </w:tc>
        <w:tc>
          <w:tcPr>
            <w:tcW w:type="dxa" w:w="1928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~0,66%</w:t>
            </w:r>
          </w:p>
        </w:tc>
        <w:tc>
          <w:tcPr>
            <w:tcW w:type="dxa" w:w="2835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Конверсионность трафика ниже</w:t>
            </w:r>
          </w:p>
        </w:tc>
      </w:tr>
      <w:tr>
        <w:trPr>
          <w:cantSplit/>
        </w:trPr>
        <w:tc>
          <w:tcPr>
            <w:tcW w:type="dxa" w:w="272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Заявки с сайта</w:t>
            </w:r>
          </w:p>
        </w:tc>
        <w:tc>
          <w:tcPr>
            <w:tcW w:type="dxa" w:w="1928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нет данных</w:t>
            </w:r>
          </w:p>
        </w:tc>
        <w:tc>
          <w:tcPr>
            <w:tcW w:type="dxa" w:w="1928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8</w:t>
            </w:r>
          </w:p>
        </w:tc>
        <w:tc>
          <w:tcPr>
            <w:tcW w:type="dxa" w:w="2835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База для следующих месяцев; со старой не сравниваем</w:t>
            </w:r>
          </w:p>
        </w:tc>
      </w:tr>
      <w:tr>
        <w:trPr>
          <w:cantSplit/>
        </w:trPr>
        <w:tc>
          <w:tcPr>
            <w:tcW w:type="dxa" w:w="2721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Форма / email / мессенджер детально</w:t>
            </w:r>
          </w:p>
        </w:tc>
        <w:tc>
          <w:tcPr>
            <w:tcW w:type="dxa" w:w="1928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нет выгрузки</w:t>
            </w:r>
          </w:p>
        </w:tc>
        <w:tc>
          <w:tcPr>
            <w:tcW w:type="dxa" w:w="1928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нет выгрузки</w:t>
            </w:r>
          </w:p>
        </w:tc>
        <w:tc>
          <w:tcPr>
            <w:tcW w:type="dxa" w:w="2835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Снять цель × страница входа</w:t>
            </w:r>
          </w:p>
        </w:tc>
      </w:tr>
    </w:tbl>
    <w:p>
      <w:pPr>
        <w:spacing w:after="160"/>
      </w:pP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2"/>
        </w:rPr>
        <w:t>Общая посещаемость и поведенческие факторы</w:t>
      </w:r>
    </w:p>
    <w:p>
      <w:pPr>
        <w:spacing w:after="200" w:before="0" w:line="276" w:lineRule="auto"/>
        <w:jc w:val="left"/>
      </w:pPr>
      <w:r>
        <w:rPr>
          <w:rFonts w:ascii="Calibri" w:hAnsi="Calibri" w:cs="Calibri" w:eastAsia="Calibri"/>
          <w:b w:val="0"/>
          <w:color w:val="5A6472"/>
          <w:sz w:val="18"/>
        </w:rPr>
        <w:t>Яндекс.Метрика → Источники, сводка · визиты · 01.07–30.07.2026 vs 01.06–30.06.2026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4"/>
          <w:left w:val="single" w:sz="4" w:space="0" w:color="D5DCE4"/>
          <w:bottom w:val="single" w:sz="4" w:space="0" w:color="D5DCE4"/>
          <w:right w:val="single" w:sz="4" w:space="0" w:color="D5DCE4"/>
          <w:insideH w:val="single" w:sz="4" w:space="0" w:color="D5DCE4"/>
          <w:insideV w:val="single" w:sz="4" w:space="0" w:color="D5DCE4"/>
        </w:tblBorders>
      </w:tblPr>
      <w:tblGrid>
        <w:gridCol w:w="3289"/>
        <w:gridCol w:w="3289"/>
        <w:gridCol w:w="3289"/>
      </w:tblGrid>
      <w:tr>
        <w:trPr>
          <w:cantSplit/>
          <w:cantSplit/>
          <w:cantSplit/>
        </w:trPr>
        <w:tc>
          <w:tcPr>
            <w:tcW w:type="dxa" w:w="3118"/>
            <w:tcMar>
              <w:top w:w="45" w:type="dxa"/>
              <w:bottom w:w="45" w:type="dxa"/>
              <w:left w:w="68" w:type="dxa"/>
              <w:right w:w="68" w:type="dxa"/>
            </w:tcMar>
            <w:shd w:fill="E8EEF5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5A6472"/>
                <w:sz w:val="18"/>
              </w:rPr>
              <w:t>Количество посетителей</w:t>
            </w:r>
          </w:p>
        </w:tc>
        <w:tc>
          <w:tcPr>
            <w:tcW w:type="dxa" w:w="3118"/>
            <w:tcMar>
              <w:top w:w="45" w:type="dxa"/>
              <w:bottom w:w="45" w:type="dxa"/>
              <w:left w:w="68" w:type="dxa"/>
              <w:right w:w="68" w:type="dxa"/>
            </w:tcMar>
            <w:shd w:fill="E8EEF5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5A6472"/>
                <w:sz w:val="18"/>
              </w:rPr>
              <w:t>Количество визитов</w:t>
            </w:r>
          </w:p>
        </w:tc>
        <w:tc>
          <w:tcPr>
            <w:tcW w:type="dxa" w:w="3118"/>
            <w:tcMar>
              <w:top w:w="45" w:type="dxa"/>
              <w:bottom w:w="45" w:type="dxa"/>
              <w:left w:w="68" w:type="dxa"/>
              <w:right w:w="68" w:type="dxa"/>
            </w:tcMar>
            <w:shd w:fill="E8EEF5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5A6472"/>
                <w:sz w:val="18"/>
              </w:rPr>
              <w:t>Количество просмотров</w:t>
            </w:r>
          </w:p>
        </w:tc>
      </w:tr>
      <w:tr>
        <w:trPr>
          <w:cantSplit/>
          <w:cantSplit/>
          <w:cantSplit/>
        </w:trPr>
        <w:tc>
          <w:tcPr>
            <w:tcW w:type="dxa" w:w="3118"/>
            <w:shd w:fill="FFFFFF" w:val="clear"/>
          </w:tcPr>
          <w:p>
            <w:pPr>
              <w:spacing w:before="12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1F3864"/>
                <w:sz w:val="40"/>
              </w:rPr>
              <w:t>238</w:t>
            </w:r>
          </w:p>
          <w:p>
            <w:pPr>
              <w:spacing w:after="120"/>
              <w:jc w:val="center"/>
            </w:pPr>
            <w:r>
              <w:rPr>
                <w:rFonts w:ascii="Calibri" w:hAnsi="Calibri" w:cs="Calibri" w:eastAsia="Calibri"/>
                <w:b/>
                <w:color w:val="1B7A3D"/>
                <w:sz w:val="20"/>
              </w:rPr>
              <w:t>+27%</w:t>
            </w:r>
          </w:p>
        </w:tc>
        <w:tc>
          <w:tcPr>
            <w:tcW w:type="dxa" w:w="3118"/>
            <w:shd w:fill="FFFFFF" w:val="clear"/>
          </w:tcPr>
          <w:p>
            <w:pPr>
              <w:spacing w:before="12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1F3864"/>
                <w:sz w:val="40"/>
              </w:rPr>
              <w:t>457</w:t>
            </w:r>
          </w:p>
          <w:p>
            <w:pPr>
              <w:spacing w:after="120"/>
              <w:jc w:val="center"/>
            </w:pPr>
            <w:r>
              <w:rPr>
                <w:rFonts w:ascii="Calibri" w:hAnsi="Calibri" w:cs="Calibri" w:eastAsia="Calibri"/>
                <w:b/>
                <w:color w:val="1B7A3D"/>
                <w:sz w:val="20"/>
              </w:rPr>
              <w:t>+53%</w:t>
            </w:r>
          </w:p>
        </w:tc>
        <w:tc>
          <w:tcPr>
            <w:tcW w:type="dxa" w:w="3118"/>
            <w:shd w:fill="FFFFFF" w:val="clear"/>
          </w:tcPr>
          <w:p>
            <w:pPr>
              <w:spacing w:before="12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1F3864"/>
                <w:sz w:val="40"/>
              </w:rPr>
              <w:t>760</w:t>
            </w:r>
          </w:p>
          <w:p>
            <w:pPr>
              <w:spacing w:after="120"/>
              <w:jc w:val="center"/>
            </w:pPr>
            <w:r>
              <w:rPr>
                <w:rFonts w:ascii="Calibri" w:hAnsi="Calibri" w:cs="Calibri" w:eastAsia="Calibri"/>
                <w:b/>
                <w:color w:val="1B7A3D"/>
                <w:sz w:val="20"/>
              </w:rPr>
              <w:t>+48%</w:t>
            </w:r>
          </w:p>
        </w:tc>
      </w:tr>
    </w:tbl>
    <w:p>
      <w:pPr>
        <w:spacing w:after="80"/>
      </w:pPr>
    </w:p>
    <w:p>
      <w:pPr>
        <w:spacing w:after="200" w:before="0" w:line="276" w:lineRule="auto"/>
        <w:jc w:val="left"/>
      </w:pPr>
      <w:r>
        <w:rPr>
          <w:rFonts w:ascii="Calibri" w:hAnsi="Calibri" w:cs="Calibri" w:eastAsia="Calibri"/>
          <w:b w:val="0"/>
          <w:color w:val="5A6472"/>
          <w:sz w:val="18"/>
        </w:rPr>
        <w:t>Просмотры посчитаны как визиты × глубина (в сводке Метрики отдельной колонкой не выгружались).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4"/>
          <w:left w:val="single" w:sz="4" w:space="0" w:color="D5DCE4"/>
          <w:bottom w:val="single" w:sz="4" w:space="0" w:color="D5DCE4"/>
          <w:right w:val="single" w:sz="4" w:space="0" w:color="D5DCE4"/>
          <w:insideH w:val="single" w:sz="4" w:space="0" w:color="D5DCE4"/>
          <w:insideV w:val="single" w:sz="4" w:space="0" w:color="D5DCE4"/>
        </w:tblBorders>
      </w:tblPr>
      <w:tblGrid>
        <w:gridCol w:w="3289"/>
        <w:gridCol w:w="3289"/>
        <w:gridCol w:w="3289"/>
      </w:tblGrid>
      <w:tr>
        <w:trPr>
          <w:cantSplit/>
          <w:cantSplit/>
          <w:cantSplit/>
        </w:trPr>
        <w:tc>
          <w:tcPr>
            <w:tcW w:type="dxa" w:w="3118"/>
            <w:tcMar>
              <w:top w:w="45" w:type="dxa"/>
              <w:bottom w:w="45" w:type="dxa"/>
              <w:left w:w="68" w:type="dxa"/>
              <w:right w:w="68" w:type="dxa"/>
            </w:tcMar>
            <w:shd w:fill="E8EEF5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5A6472"/>
                <w:sz w:val="18"/>
              </w:rPr>
              <w:t>Глубина просмотра</w:t>
            </w:r>
          </w:p>
        </w:tc>
        <w:tc>
          <w:tcPr>
            <w:tcW w:type="dxa" w:w="3118"/>
            <w:tcMar>
              <w:top w:w="45" w:type="dxa"/>
              <w:bottom w:w="45" w:type="dxa"/>
              <w:left w:w="68" w:type="dxa"/>
              <w:right w:w="68" w:type="dxa"/>
            </w:tcMar>
            <w:shd w:fill="E8EEF5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5A6472"/>
                <w:sz w:val="18"/>
              </w:rPr>
              <w:t>Длительность визита</w:t>
            </w:r>
          </w:p>
        </w:tc>
        <w:tc>
          <w:tcPr>
            <w:tcW w:type="dxa" w:w="3118"/>
            <w:tcMar>
              <w:top w:w="45" w:type="dxa"/>
              <w:bottom w:w="45" w:type="dxa"/>
              <w:left w:w="68" w:type="dxa"/>
              <w:right w:w="68" w:type="dxa"/>
            </w:tcMar>
            <w:shd w:fill="E8EEF5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5A6472"/>
                <w:sz w:val="18"/>
              </w:rPr>
              <w:t>Показатель отказов</w:t>
            </w:r>
          </w:p>
        </w:tc>
      </w:tr>
      <w:tr>
        <w:trPr>
          <w:cantSplit/>
          <w:cantSplit/>
          <w:cantSplit/>
        </w:trPr>
        <w:tc>
          <w:tcPr>
            <w:tcW w:type="dxa" w:w="3118"/>
            <w:shd w:fill="FFFFFF" w:val="clear"/>
          </w:tcPr>
          <w:p>
            <w:pPr>
              <w:spacing w:before="12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1F3864"/>
                <w:sz w:val="40"/>
              </w:rPr>
              <w:t>1,66</w:t>
            </w:r>
          </w:p>
          <w:p>
            <w:pPr>
              <w:spacing w:after="120"/>
              <w:jc w:val="center"/>
            </w:pPr>
            <w:r>
              <w:rPr>
                <w:rFonts w:ascii="Calibri" w:hAnsi="Calibri" w:cs="Calibri" w:eastAsia="Calibri"/>
                <w:b/>
                <w:color w:val="B42318"/>
                <w:sz w:val="20"/>
              </w:rPr>
              <w:t>-3%</w:t>
            </w:r>
          </w:p>
        </w:tc>
        <w:tc>
          <w:tcPr>
            <w:tcW w:type="dxa" w:w="3118"/>
            <w:shd w:fill="FFFFFF" w:val="clear"/>
          </w:tcPr>
          <w:p>
            <w:pPr>
              <w:spacing w:before="12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1F3864"/>
                <w:sz w:val="40"/>
              </w:rPr>
              <w:t>02:33</w:t>
            </w:r>
          </w:p>
          <w:p>
            <w:pPr>
              <w:spacing w:after="120"/>
              <w:jc w:val="center"/>
            </w:pPr>
            <w:r>
              <w:rPr>
                <w:rFonts w:ascii="Calibri" w:hAnsi="Calibri" w:cs="Calibri" w:eastAsia="Calibri"/>
                <w:b/>
                <w:color w:val="B42318"/>
                <w:sz w:val="20"/>
              </w:rPr>
              <w:t>-7%</w:t>
            </w:r>
          </w:p>
        </w:tc>
        <w:tc>
          <w:tcPr>
            <w:tcW w:type="dxa" w:w="3118"/>
            <w:shd w:fill="FFFFFF" w:val="clear"/>
          </w:tcPr>
          <w:p>
            <w:pPr>
              <w:spacing w:before="12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1F3864"/>
                <w:sz w:val="40"/>
              </w:rPr>
              <w:t>18,6%</w:t>
            </w:r>
          </w:p>
          <w:p>
            <w:pPr>
              <w:spacing w:after="120"/>
              <w:jc w:val="center"/>
            </w:pPr>
            <w:r>
              <w:rPr>
                <w:rFonts w:ascii="Calibri" w:hAnsi="Calibri" w:cs="Calibri" w:eastAsia="Calibri"/>
                <w:b/>
                <w:color w:val="1B7A3D"/>
                <w:sz w:val="20"/>
              </w:rPr>
              <w:t>лучше на 6,9 п.п.</w:t>
            </w:r>
          </w:p>
        </w:tc>
      </w:tr>
    </w:tbl>
    <w:p>
      <w:pPr>
        <w:spacing w:after="80"/>
      </w:pP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2"/>
        </w:rPr>
        <w:t>Переходы из поисковых систем</w:t>
      </w:r>
    </w:p>
    <w:p>
      <w:pPr>
        <w:spacing w:after="200" w:before="0" w:line="276" w:lineRule="auto"/>
        <w:jc w:val="left"/>
      </w:pPr>
      <w:r>
        <w:rPr>
          <w:rFonts w:ascii="Calibri" w:hAnsi="Calibri" w:cs="Calibri" w:eastAsia="Calibri"/>
          <w:b w:val="0"/>
          <w:color w:val="5A6472"/>
          <w:sz w:val="18"/>
        </w:rPr>
        <w:t>Яндекс.Метрика → Источники, сводка · поисковые системы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4"/>
          <w:left w:val="single" w:sz="4" w:space="0" w:color="D5DCE4"/>
          <w:bottom w:val="single" w:sz="4" w:space="0" w:color="D5DCE4"/>
          <w:right w:val="single" w:sz="4" w:space="0" w:color="D5DCE4"/>
          <w:insideH w:val="single" w:sz="4" w:space="0" w:color="D5DCE4"/>
          <w:insideV w:val="single" w:sz="4" w:space="0" w:color="D5DCE4"/>
        </w:tblBorders>
      </w:tblPr>
      <w:tblGrid>
        <w:gridCol w:w="3289"/>
        <w:gridCol w:w="3289"/>
        <w:gridCol w:w="3289"/>
      </w:tblGrid>
      <w:tr>
        <w:trPr>
          <w:cantSplit/>
          <w:cantSplit/>
          <w:cantSplit/>
        </w:trPr>
        <w:tc>
          <w:tcPr>
            <w:tcW w:type="dxa" w:w="3118"/>
            <w:tcMar>
              <w:top w:w="45" w:type="dxa"/>
              <w:bottom w:w="45" w:type="dxa"/>
              <w:left w:w="68" w:type="dxa"/>
              <w:right w:w="68" w:type="dxa"/>
            </w:tcMar>
            <w:shd w:fill="E8EEF5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5A6472"/>
                <w:sz w:val="18"/>
              </w:rPr>
              <w:t>Яндекс</w:t>
            </w:r>
          </w:p>
        </w:tc>
        <w:tc>
          <w:tcPr>
            <w:tcW w:type="dxa" w:w="3118"/>
            <w:tcMar>
              <w:top w:w="45" w:type="dxa"/>
              <w:bottom w:w="45" w:type="dxa"/>
              <w:left w:w="68" w:type="dxa"/>
              <w:right w:w="68" w:type="dxa"/>
            </w:tcMar>
            <w:shd w:fill="E8EEF5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5A6472"/>
                <w:sz w:val="18"/>
              </w:rPr>
              <w:t>Google</w:t>
            </w:r>
          </w:p>
        </w:tc>
        <w:tc>
          <w:tcPr>
            <w:tcW w:type="dxa" w:w="3118"/>
            <w:tcMar>
              <w:top w:w="45" w:type="dxa"/>
              <w:bottom w:w="45" w:type="dxa"/>
              <w:left w:w="68" w:type="dxa"/>
              <w:right w:w="68" w:type="dxa"/>
            </w:tcMar>
            <w:shd w:fill="E8EEF5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5A6472"/>
                <w:sz w:val="18"/>
              </w:rPr>
              <w:t>Bing</w:t>
            </w:r>
          </w:p>
        </w:tc>
      </w:tr>
      <w:tr>
        <w:trPr>
          <w:cantSplit/>
          <w:cantSplit/>
          <w:cantSplit/>
        </w:trPr>
        <w:tc>
          <w:tcPr>
            <w:tcW w:type="dxa" w:w="3118"/>
            <w:shd w:fill="FFFFFF" w:val="clear"/>
          </w:tcPr>
          <w:p>
            <w:pPr>
              <w:spacing w:before="12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1F3864"/>
                <w:sz w:val="40"/>
              </w:rPr>
              <w:t>269</w:t>
            </w:r>
          </w:p>
          <w:p>
            <w:pPr>
              <w:spacing w:after="120"/>
              <w:jc w:val="center"/>
            </w:pPr>
            <w:r>
              <w:rPr>
                <w:rFonts w:ascii="Calibri" w:hAnsi="Calibri" w:cs="Calibri" w:eastAsia="Calibri"/>
                <w:b/>
                <w:color w:val="1B7A3D"/>
                <w:sz w:val="20"/>
              </w:rPr>
              <w:t>+74%</w:t>
            </w:r>
          </w:p>
        </w:tc>
        <w:tc>
          <w:tcPr>
            <w:tcW w:type="dxa" w:w="3118"/>
            <w:shd w:fill="FFFFFF" w:val="clear"/>
          </w:tcPr>
          <w:p>
            <w:pPr>
              <w:spacing w:before="12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1F3864"/>
                <w:sz w:val="40"/>
              </w:rPr>
              <w:t>67</w:t>
            </w:r>
          </w:p>
          <w:p>
            <w:pPr>
              <w:spacing w:after="120"/>
              <w:jc w:val="center"/>
            </w:pPr>
            <w:r>
              <w:rPr>
                <w:rFonts w:ascii="Calibri" w:hAnsi="Calibri" w:cs="Calibri" w:eastAsia="Calibri"/>
                <w:b/>
                <w:color w:val="1B7A3D"/>
                <w:sz w:val="20"/>
              </w:rPr>
              <w:t>+168%</w:t>
            </w:r>
          </w:p>
        </w:tc>
        <w:tc>
          <w:tcPr>
            <w:tcW w:type="dxa" w:w="3118"/>
            <w:shd w:fill="FFFFFF" w:val="clear"/>
          </w:tcPr>
          <w:p>
            <w:pPr>
              <w:spacing w:before="12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1F3864"/>
                <w:sz w:val="40"/>
              </w:rPr>
              <w:t>2</w:t>
            </w:r>
          </w:p>
          <w:p>
            <w:pPr>
              <w:spacing w:after="120"/>
              <w:jc w:val="center"/>
            </w:pPr>
            <w:r>
              <w:rPr>
                <w:rFonts w:ascii="Calibri" w:hAnsi="Calibri" w:cs="Calibri" w:eastAsia="Calibri"/>
                <w:b/>
                <w:color w:val="B42318"/>
                <w:sz w:val="20"/>
              </w:rPr>
              <w:t>-50%</w:t>
            </w:r>
          </w:p>
        </w:tc>
      </w:tr>
    </w:tbl>
    <w:p>
      <w:pPr>
        <w:spacing w:after="80"/>
      </w:pPr>
    </w:p>
    <w:p>
      <w:pPr>
        <w:spacing w:after="200" w:before="0" w:line="276" w:lineRule="auto"/>
        <w:jc w:val="both"/>
      </w:pPr>
      <w:r>
        <w:rPr>
          <w:rFonts w:ascii="Calibri" w:hAnsi="Calibri" w:cs="Calibri" w:eastAsia="Calibri"/>
          <w:b w:val="0"/>
          <w:color w:val="5A6472"/>
          <w:sz w:val="20"/>
        </w:rPr>
        <w:t>Итого поиск: 338 визитов в июле против 184 в июне (+84%). Доля органики в визитах сайта — около 74% (в июне около 62%). Bing — 2 визита со 100% отказов, в оценке SEO не учитываем.</w:t>
      </w: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2"/>
        </w:rPr>
        <w:t>Распределение трафика по каналам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4"/>
          <w:left w:val="single" w:sz="4" w:space="0" w:color="D5DCE4"/>
          <w:bottom w:val="single" w:sz="4" w:space="0" w:color="D5DCE4"/>
          <w:right w:val="single" w:sz="4" w:space="0" w:color="D5DCE4"/>
          <w:insideH w:val="single" w:sz="4" w:space="0" w:color="D5DCE4"/>
          <w:insideV w:val="single" w:sz="4" w:space="0" w:color="D5DCE4"/>
        </w:tblBorders>
      </w:tblPr>
      <w:tblGrid>
        <w:gridCol w:w="3289"/>
        <w:gridCol w:w="3289"/>
        <w:gridCol w:w="3289"/>
      </w:tblGrid>
      <w:tr>
        <w:trPr>
          <w:cantSplit/>
          <w:cantSplit/>
          <w:cantSplit/>
        </w:trPr>
        <w:tc>
          <w:tcPr>
            <w:tcW w:type="dxa" w:w="3118"/>
            <w:tcMar>
              <w:top w:w="45" w:type="dxa"/>
              <w:bottom w:w="45" w:type="dxa"/>
              <w:left w:w="68" w:type="dxa"/>
              <w:right w:w="68" w:type="dxa"/>
            </w:tcMar>
            <w:shd w:fill="E8EEF5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5A6472"/>
                <w:sz w:val="18"/>
              </w:rPr>
              <w:t>Переходы из поисковых систем</w:t>
            </w:r>
          </w:p>
        </w:tc>
        <w:tc>
          <w:tcPr>
            <w:tcW w:type="dxa" w:w="3118"/>
            <w:tcMar>
              <w:top w:w="45" w:type="dxa"/>
              <w:bottom w:w="45" w:type="dxa"/>
              <w:left w:w="68" w:type="dxa"/>
              <w:right w:w="68" w:type="dxa"/>
            </w:tcMar>
            <w:shd w:fill="E8EEF5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5A6472"/>
                <w:sz w:val="18"/>
              </w:rPr>
              <w:t>Прямые заходы</w:t>
            </w:r>
          </w:p>
        </w:tc>
        <w:tc>
          <w:tcPr>
            <w:tcW w:type="dxa" w:w="3118"/>
            <w:tcMar>
              <w:top w:w="45" w:type="dxa"/>
              <w:bottom w:w="45" w:type="dxa"/>
              <w:left w:w="68" w:type="dxa"/>
              <w:right w:w="68" w:type="dxa"/>
            </w:tcMar>
            <w:shd w:fill="E8EEF5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5A6472"/>
                <w:sz w:val="18"/>
              </w:rPr>
              <w:t>Переходы по рекламе</w:t>
            </w:r>
          </w:p>
        </w:tc>
      </w:tr>
      <w:tr>
        <w:trPr>
          <w:cantSplit/>
          <w:cantSplit/>
          <w:cantSplit/>
        </w:trPr>
        <w:tc>
          <w:tcPr>
            <w:tcW w:type="dxa" w:w="3118"/>
            <w:shd w:fill="FFFFFF" w:val="clear"/>
          </w:tcPr>
          <w:p>
            <w:pPr>
              <w:spacing w:before="12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1F3864"/>
                <w:sz w:val="40"/>
              </w:rPr>
              <w:t>338</w:t>
            </w:r>
          </w:p>
          <w:p>
            <w:pPr>
              <w:spacing w:after="120"/>
              <w:jc w:val="center"/>
            </w:pPr>
            <w:r>
              <w:rPr>
                <w:rFonts w:ascii="Calibri" w:hAnsi="Calibri" w:cs="Calibri" w:eastAsia="Calibri"/>
                <w:b/>
                <w:color w:val="1B7A3D"/>
                <w:sz w:val="20"/>
              </w:rPr>
              <w:t>+84%</w:t>
            </w:r>
          </w:p>
        </w:tc>
        <w:tc>
          <w:tcPr>
            <w:tcW w:type="dxa" w:w="3118"/>
            <w:shd w:fill="FFFFFF" w:val="clear"/>
          </w:tcPr>
          <w:p>
            <w:pPr>
              <w:spacing w:before="12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1F3864"/>
                <w:sz w:val="40"/>
              </w:rPr>
              <w:t>106</w:t>
            </w:r>
          </w:p>
          <w:p>
            <w:pPr>
              <w:spacing w:after="120"/>
              <w:jc w:val="center"/>
            </w:pPr>
            <w:r>
              <w:rPr>
                <w:rFonts w:ascii="Calibri" w:hAnsi="Calibri" w:cs="Calibri" w:eastAsia="Calibri"/>
                <w:b/>
                <w:color w:val="1B7A3D"/>
                <w:sz w:val="20"/>
              </w:rPr>
              <w:t>+51%</w:t>
            </w:r>
          </w:p>
        </w:tc>
        <w:tc>
          <w:tcPr>
            <w:tcW w:type="dxa" w:w="3118"/>
            <w:shd w:fill="FFFFFF" w:val="clear"/>
          </w:tcPr>
          <w:p>
            <w:pPr>
              <w:spacing w:before="12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1F3864"/>
                <w:sz w:val="40"/>
              </w:rPr>
              <w:t>8</w:t>
            </w:r>
          </w:p>
          <w:p>
            <w:pPr>
              <w:spacing w:after="120"/>
              <w:jc w:val="center"/>
            </w:pPr>
            <w:r>
              <w:rPr>
                <w:rFonts w:ascii="Calibri" w:hAnsi="Calibri" w:cs="Calibri" w:eastAsia="Calibri"/>
                <w:b/>
                <w:color w:val="B42318"/>
                <w:sz w:val="20"/>
              </w:rPr>
              <w:t>-62%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DD6"/>
          <w:left w:val="single" w:sz="4" w:space="0" w:color="C5CDD6"/>
          <w:bottom w:val="single" w:sz="4" w:space="0" w:color="C5CDD6"/>
          <w:right w:val="single" w:sz="4" w:space="0" w:color="C5CDD6"/>
          <w:insideH w:val="single" w:sz="4" w:space="0" w:color="C5CDD6"/>
          <w:insideV w:val="single" w:sz="4" w:space="0" w:color="C5CDD6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№</w:t>
            </w:r>
          </w:p>
        </w:tc>
        <w:tc>
          <w:tcPr>
            <w:tcW w:type="dxa" w:w="3061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1361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Визиты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Отказы</w:t>
            </w:r>
          </w:p>
        </w:tc>
        <w:tc>
          <w:tcPr>
            <w:tcW w:type="dxa" w:w="1587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Глубина просмотра</w:t>
            </w:r>
          </w:p>
        </w:tc>
        <w:tc>
          <w:tcPr>
            <w:tcW w:type="dxa" w:w="1474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Время на сайте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</w:t>
            </w:r>
          </w:p>
        </w:tc>
        <w:tc>
          <w:tcPr>
            <w:tcW w:type="dxa" w:w="306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Переходы из поисковых систем</w:t>
            </w:r>
          </w:p>
        </w:tc>
        <w:tc>
          <w:tcPr>
            <w:tcW w:type="dxa" w:w="136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338+84%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11,8%-1</w:t>
            </w:r>
          </w:p>
        </w:tc>
        <w:tc>
          <w:tcPr>
            <w:tcW w:type="dxa" w:w="158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1,53-9%</w:t>
            </w:r>
          </w:p>
        </w:tc>
        <w:tc>
          <w:tcPr>
            <w:tcW w:type="dxa" w:w="1474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02:28+15%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</w:t>
            </w:r>
          </w:p>
        </w:tc>
        <w:tc>
          <w:tcPr>
            <w:tcW w:type="dxa" w:w="3061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Прямые заходы</w:t>
            </w:r>
          </w:p>
        </w:tc>
        <w:tc>
          <w:tcPr>
            <w:tcW w:type="dxa" w:w="1361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106+51%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41,5%-28</w:t>
            </w:r>
          </w:p>
        </w:tc>
        <w:tc>
          <w:tcPr>
            <w:tcW w:type="dxa" w:w="158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2,13+48%</w:t>
            </w:r>
          </w:p>
        </w:tc>
        <w:tc>
          <w:tcPr>
            <w:tcW w:type="dxa" w:w="1474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02:56+193%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3</w:t>
            </w:r>
          </w:p>
        </w:tc>
        <w:tc>
          <w:tcPr>
            <w:tcW w:type="dxa" w:w="306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Переходы по рекламе (Яндекс.Директ)</w:t>
            </w:r>
          </w:p>
        </w:tc>
        <w:tc>
          <w:tcPr>
            <w:tcW w:type="dxa" w:w="136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8-62%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12,5%+12</w:t>
            </w:r>
          </w:p>
        </w:tc>
        <w:tc>
          <w:tcPr>
            <w:tcW w:type="dxa" w:w="158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1,50+50%</w:t>
            </w:r>
          </w:p>
        </w:tc>
        <w:tc>
          <w:tcPr>
            <w:tcW w:type="dxa" w:w="1474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01:28+83%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4</w:t>
            </w:r>
          </w:p>
        </w:tc>
        <w:tc>
          <w:tcPr>
            <w:tcW w:type="dxa" w:w="3061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Переходы по ссылкам на сайтах</w:t>
            </w:r>
          </w:p>
        </w:tc>
        <w:tc>
          <w:tcPr>
            <w:tcW w:type="dxa" w:w="1361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5-38%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20,0%+8</w:t>
            </w:r>
          </w:p>
        </w:tc>
        <w:tc>
          <w:tcPr>
            <w:tcW w:type="dxa" w:w="158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</w:t>
            </w:r>
          </w:p>
        </w:tc>
        <w:tc>
          <w:tcPr>
            <w:tcW w:type="dxa" w:w="1474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00:17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5</w:t>
            </w:r>
          </w:p>
        </w:tc>
        <w:tc>
          <w:tcPr>
            <w:tcW w:type="dxa" w:w="306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Внутренние переходы</w:t>
            </w:r>
          </w:p>
        </w:tc>
        <w:tc>
          <w:tcPr>
            <w:tcW w:type="dxa" w:w="136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0-100%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—</w:t>
            </w:r>
          </w:p>
        </w:tc>
        <w:tc>
          <w:tcPr>
            <w:tcW w:type="dxa" w:w="158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—</w:t>
            </w:r>
          </w:p>
        </w:tc>
        <w:tc>
          <w:tcPr>
            <w:tcW w:type="dxa" w:w="1474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</w:r>
          </w:p>
        </w:tc>
        <w:tc>
          <w:tcPr>
            <w:tcW w:type="dxa" w:w="3061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Итого</w:t>
            </w:r>
          </w:p>
        </w:tc>
        <w:tc>
          <w:tcPr>
            <w:tcW w:type="dxa" w:w="1361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457+53%</w:t>
            </w:r>
          </w:p>
        </w:tc>
        <w:tc>
          <w:tcPr>
            <w:tcW w:type="dxa" w:w="1304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18,6%-7</w:t>
            </w:r>
          </w:p>
        </w:tc>
        <w:tc>
          <w:tcPr>
            <w:tcW w:type="dxa" w:w="158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1,66-3%</w:t>
            </w:r>
          </w:p>
        </w:tc>
        <w:tc>
          <w:tcPr>
            <w:tcW w:type="dxa" w:w="1474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02:33-7%</w:t>
            </w:r>
          </w:p>
        </w:tc>
      </w:tr>
    </w:tbl>
    <w:p>
      <w:pPr>
        <w:spacing w:after="160"/>
      </w:pPr>
    </w:p>
    <w:p>
      <w:pPr>
        <w:spacing w:after="200" w:before="0" w:line="276" w:lineRule="auto"/>
        <w:jc w:val="both"/>
      </w:pPr>
      <w:r>
        <w:rPr>
          <w:rFonts w:ascii="Calibri" w:hAnsi="Calibri" w:cs="Calibri" w:eastAsia="Calibri"/>
          <w:b w:val="0"/>
          <w:color w:val="5A6472"/>
          <w:sz w:val="20"/>
        </w:rPr>
        <w:t>Прямые заходы выросли на 51%, но отказы по ним 41,5% — смесь бренда и сессий без referrer. Директ сжался до 8 визитов (−62%) и с оценкой SEO не смешиваем. Внутренние переходы в июле обнулились (в июне было 10) — проверить фильтры счётчика, на вывод по поиску не влияет.</w:t>
      </w: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2"/>
        </w:rPr>
        <w:t>Тип устройств, с которых были переходы за отчетный период</w:t>
      </w:r>
    </w:p>
    <w:p>
      <w:pPr>
        <w:spacing w:after="200" w:before="0" w:line="276" w:lineRule="auto"/>
        <w:jc w:val="both"/>
      </w:pPr>
      <w:r>
        <w:rPr>
          <w:rFonts w:ascii="Calibri" w:hAnsi="Calibri" w:cs="Calibri" w:eastAsia="Calibri"/>
          <w:b w:val="0"/>
          <w:color w:val="5A6472"/>
          <w:sz w:val="20"/>
        </w:rPr>
        <w:t>В пакете выгрузок за июль 2026 отчёта «Технологии → Устройства» нет. Таблица ПК / смартфоны / планшеты в этот файл не выдумана. Для августа: Метрика → Технологии → Устройства, тот же период и сравнение с предыдущим месяцем, колонки визиты / отказы / глубина / время.</w:t>
      </w: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2"/>
        </w:rPr>
        <w:t>География посетителей</w:t>
      </w:r>
    </w:p>
    <w:p>
      <w:pPr>
        <w:spacing w:after="200" w:before="0" w:line="276" w:lineRule="auto"/>
        <w:jc w:val="both"/>
      </w:pPr>
      <w:r>
        <w:rPr>
          <w:rFonts w:ascii="Calibri" w:hAnsi="Calibri" w:cs="Calibri" w:eastAsia="Calibri"/>
          <w:b w:val="0"/>
          <w:color w:val="5A6472"/>
          <w:sz w:val="20"/>
        </w:rPr>
        <w:t>В пакете выгрузок отчёта «Аудитория → География» нет. Топ регионов с дельтами к июню в этот файл не выдуман. Для августа: Метрика → Аудитория → География, топ-10, визиты / отказы / глубина / время, на карточках — топ-6 плюс «Другие».</w:t>
      </w: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2"/>
        </w:rPr>
        <w:t>Динамика поискового трафика</w:t>
      </w:r>
    </w:p>
    <w:p>
      <w:pPr>
        <w:spacing w:after="200" w:before="0" w:line="276" w:lineRule="auto"/>
        <w:jc w:val="left"/>
      </w:pPr>
      <w:r>
        <w:rPr>
          <w:rFonts w:ascii="Calibri" w:hAnsi="Calibri" w:cs="Calibri" w:eastAsia="Calibri"/>
          <w:b w:val="0"/>
          <w:color w:val="5A6472"/>
          <w:sz w:val="18"/>
        </w:rPr>
        <w:t>Сегмент «Переходы из поисковых систем» · июль 2026 vs июнь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5DCE4"/>
          <w:left w:val="single" w:sz="4" w:space="0" w:color="D5DCE4"/>
          <w:bottom w:val="single" w:sz="4" w:space="0" w:color="D5DCE4"/>
          <w:right w:val="single" w:sz="4" w:space="0" w:color="D5DCE4"/>
          <w:insideH w:val="single" w:sz="4" w:space="0" w:color="D5DCE4"/>
          <w:insideV w:val="single" w:sz="4" w:space="0" w:color="D5DCE4"/>
        </w:tblBorders>
      </w:tblPr>
      <w:tblGrid>
        <w:gridCol w:w="2466"/>
        <w:gridCol w:w="2466"/>
        <w:gridCol w:w="2466"/>
        <w:gridCol w:w="2466"/>
      </w:tblGrid>
      <w:tr>
        <w:trPr>
          <w:cantSplit/>
          <w:cantSplit/>
          <w:cantSplit/>
          <w:cantSplit/>
        </w:trPr>
        <w:tc>
          <w:tcPr>
            <w:tcW w:type="dxa" w:w="2339"/>
            <w:tcMar>
              <w:top w:w="45" w:type="dxa"/>
              <w:bottom w:w="45" w:type="dxa"/>
              <w:left w:w="68" w:type="dxa"/>
              <w:right w:w="68" w:type="dxa"/>
            </w:tcMar>
            <w:shd w:fill="E8EEF5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5A6472"/>
                <w:sz w:val="18"/>
              </w:rPr>
              <w:t>Визиты</w:t>
            </w:r>
          </w:p>
        </w:tc>
        <w:tc>
          <w:tcPr>
            <w:tcW w:type="dxa" w:w="2339"/>
            <w:tcMar>
              <w:top w:w="45" w:type="dxa"/>
              <w:bottom w:w="45" w:type="dxa"/>
              <w:left w:w="68" w:type="dxa"/>
              <w:right w:w="68" w:type="dxa"/>
            </w:tcMar>
            <w:shd w:fill="E8EEF5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5A6472"/>
                <w:sz w:val="18"/>
              </w:rPr>
              <w:t>Отказы</w:t>
            </w:r>
          </w:p>
        </w:tc>
        <w:tc>
          <w:tcPr>
            <w:tcW w:type="dxa" w:w="2339"/>
            <w:tcMar>
              <w:top w:w="45" w:type="dxa"/>
              <w:bottom w:w="45" w:type="dxa"/>
              <w:left w:w="68" w:type="dxa"/>
              <w:right w:w="68" w:type="dxa"/>
            </w:tcMar>
            <w:shd w:fill="E8EEF5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5A6472"/>
                <w:sz w:val="18"/>
              </w:rPr>
              <w:t>Глубина просмотров</w:t>
            </w:r>
          </w:p>
        </w:tc>
        <w:tc>
          <w:tcPr>
            <w:tcW w:type="dxa" w:w="2339"/>
            <w:tcMar>
              <w:top w:w="45" w:type="dxa"/>
              <w:bottom w:w="45" w:type="dxa"/>
              <w:left w:w="68" w:type="dxa"/>
              <w:right w:w="68" w:type="dxa"/>
            </w:tcMar>
            <w:shd w:fill="E8EEF5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5A6472"/>
                <w:sz w:val="18"/>
              </w:rPr>
              <w:t>Время на сайте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339"/>
            <w:shd w:fill="FFFFFF" w:val="clear"/>
          </w:tcPr>
          <w:p>
            <w:pPr>
              <w:spacing w:before="12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1F3864"/>
                <w:sz w:val="40"/>
              </w:rPr>
              <w:t>338</w:t>
            </w:r>
          </w:p>
          <w:p>
            <w:pPr>
              <w:spacing w:after="120"/>
              <w:jc w:val="center"/>
            </w:pPr>
            <w:r>
              <w:rPr>
                <w:rFonts w:ascii="Calibri" w:hAnsi="Calibri" w:cs="Calibri" w:eastAsia="Calibri"/>
                <w:b/>
                <w:color w:val="1B7A3D"/>
                <w:sz w:val="20"/>
              </w:rPr>
              <w:t>+84%</w:t>
            </w:r>
          </w:p>
        </w:tc>
        <w:tc>
          <w:tcPr>
            <w:tcW w:type="dxa" w:w="2339"/>
            <w:shd w:fill="FFFFFF" w:val="clear"/>
          </w:tcPr>
          <w:p>
            <w:pPr>
              <w:spacing w:before="12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1F3864"/>
                <w:sz w:val="40"/>
              </w:rPr>
              <w:t>11,8%</w:t>
            </w:r>
          </w:p>
          <w:p>
            <w:pPr>
              <w:spacing w:after="120"/>
              <w:jc w:val="center"/>
            </w:pPr>
            <w:r>
              <w:rPr>
                <w:rFonts w:ascii="Calibri" w:hAnsi="Calibri" w:cs="Calibri" w:eastAsia="Calibri"/>
                <w:b/>
                <w:color w:val="5A6472"/>
                <w:sz w:val="20"/>
              </w:rPr>
              <w:t>↓ к 12,5% в июне</w:t>
            </w:r>
          </w:p>
        </w:tc>
        <w:tc>
          <w:tcPr>
            <w:tcW w:type="dxa" w:w="2339"/>
            <w:shd w:fill="FFFFFF" w:val="clear"/>
          </w:tcPr>
          <w:p>
            <w:pPr>
              <w:spacing w:before="12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1F3864"/>
                <w:sz w:val="40"/>
              </w:rPr>
              <w:t>1,53</w:t>
            </w:r>
          </w:p>
          <w:p>
            <w:pPr>
              <w:spacing w:after="120"/>
              <w:jc w:val="center"/>
            </w:pPr>
            <w:r>
              <w:rPr>
                <w:rFonts w:ascii="Calibri" w:hAnsi="Calibri" w:cs="Calibri" w:eastAsia="Calibri"/>
                <w:b/>
                <w:color w:val="B42318"/>
                <w:sz w:val="20"/>
              </w:rPr>
              <w:t>-9%</w:t>
            </w:r>
          </w:p>
        </w:tc>
        <w:tc>
          <w:tcPr>
            <w:tcW w:type="dxa" w:w="2339"/>
            <w:shd w:fill="FFFFFF" w:val="clear"/>
          </w:tcPr>
          <w:p>
            <w:pPr>
              <w:spacing w:before="120" w:after="40"/>
              <w:jc w:val="center"/>
            </w:pPr>
            <w:r/>
            <w:r>
              <w:rPr>
                <w:rFonts w:ascii="Calibri" w:hAnsi="Calibri" w:cs="Calibri" w:eastAsia="Calibri"/>
                <w:b/>
                <w:color w:val="1F3864"/>
                <w:sz w:val="40"/>
              </w:rPr>
              <w:t>02:28</w:t>
            </w:r>
          </w:p>
          <w:p>
            <w:pPr>
              <w:spacing w:after="120"/>
              <w:jc w:val="center"/>
            </w:pPr>
            <w:r>
              <w:rPr>
                <w:rFonts w:ascii="Calibri" w:hAnsi="Calibri" w:cs="Calibri" w:eastAsia="Calibri"/>
                <w:b/>
                <w:color w:val="1B7A3D"/>
                <w:sz w:val="20"/>
              </w:rPr>
              <w:t>+15%</w:t>
            </w:r>
          </w:p>
        </w:tc>
      </w:tr>
    </w:tbl>
    <w:p>
      <w:pPr>
        <w:spacing w:after="80"/>
      </w:pPr>
    </w:p>
    <w:p>
      <w:pPr>
        <w:spacing w:after="200" w:before="0" w:line="276" w:lineRule="auto"/>
        <w:jc w:val="both"/>
      </w:pPr>
      <w:r>
        <w:rPr>
          <w:rFonts w:ascii="Calibri" w:hAnsi="Calibri" w:cs="Calibri" w:eastAsia="Calibri"/>
          <w:b w:val="0"/>
          <w:color w:val="5A6472"/>
          <w:sz w:val="20"/>
        </w:rPr>
        <w:t>Посуточный график в выгрузку не входил — в образце opk он стоит скрином из Метрики. Итоги периода: поиск вырос с 184 до 338 визитов. Отказы органики низкие (Яндекс 11,9%, Google 7,5%). Глубина органики ~1,5 — зона роста (перелинковка и CTA на услугах).</w:t>
      </w: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2"/>
        </w:rPr>
        <w:t>Поисковый трафик за отчетный период в сравнении с аналогичным периодом за прошлый год</w:t>
      </w:r>
    </w:p>
    <w:p>
      <w:pPr>
        <w:spacing w:after="200" w:before="0" w:line="276" w:lineRule="auto"/>
        <w:jc w:val="both"/>
      </w:pPr>
      <w:r>
        <w:rPr>
          <w:rFonts w:ascii="Calibri" w:hAnsi="Calibri" w:cs="Calibri" w:eastAsia="Calibri"/>
          <w:b w:val="0"/>
          <w:color w:val="5A6472"/>
          <w:sz w:val="20"/>
        </w:rPr>
        <w:t>Сравнение с 1–31 июля 2025 в выгрузках Метрики не приложено. Старый PDF по сайту за 11.06.2025–10.07.2025 (182 посетителя, 257 визитов) к календарному июлю 2025 не приводится: период другой, как год к году не используем. Для следующего отчёта: тот же сегмент поиска, группировка по дням, второй период — 01.07.2025–31.07.2025.</w:t>
      </w: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2"/>
        </w:rPr>
        <w:t>Динамика переходов из поисковых систем за отчетный период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DD6"/>
          <w:left w:val="single" w:sz="4" w:space="0" w:color="C5CDD6"/>
          <w:bottom w:val="single" w:sz="4" w:space="0" w:color="C5CDD6"/>
          <w:right w:val="single" w:sz="4" w:space="0" w:color="C5CDD6"/>
          <w:insideH w:val="single" w:sz="4" w:space="0" w:color="C5CDD6"/>
          <w:insideV w:val="single" w:sz="4" w:space="0" w:color="C5CDD6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№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Поисковая система</w:t>
            </w:r>
          </w:p>
        </w:tc>
        <w:tc>
          <w:tcPr>
            <w:tcW w:type="dxa" w:w="1474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Визиты</w:t>
            </w:r>
          </w:p>
        </w:tc>
        <w:tc>
          <w:tcPr>
            <w:tcW w:type="dxa" w:w="1361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Отказы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Глубина просмотра</w:t>
            </w:r>
          </w:p>
        </w:tc>
        <w:tc>
          <w:tcPr>
            <w:tcW w:type="dxa" w:w="1814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Время на сайте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Яндекс</w:t>
            </w:r>
          </w:p>
        </w:tc>
        <w:tc>
          <w:tcPr>
            <w:tcW w:type="dxa" w:w="1474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269+74%</w:t>
            </w:r>
          </w:p>
        </w:tc>
        <w:tc>
          <w:tcPr>
            <w:tcW w:type="dxa" w:w="136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11,9%+1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1,54-6%</w:t>
            </w:r>
          </w:p>
        </w:tc>
        <w:tc>
          <w:tcPr>
            <w:tcW w:type="dxa" w:w="1814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02:25+44%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Google</w:t>
            </w:r>
          </w:p>
        </w:tc>
        <w:tc>
          <w:tcPr>
            <w:tcW w:type="dxa" w:w="1474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67+168%</w:t>
            </w:r>
          </w:p>
        </w:tc>
        <w:tc>
          <w:tcPr>
            <w:tcW w:type="dxa" w:w="1361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7,5%-5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1,49-22%</w:t>
            </w:r>
          </w:p>
        </w:tc>
        <w:tc>
          <w:tcPr>
            <w:tcW w:type="dxa" w:w="1814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02:48-36%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3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Bing</w:t>
            </w:r>
          </w:p>
        </w:tc>
        <w:tc>
          <w:tcPr>
            <w:tcW w:type="dxa" w:w="1474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2-50%</w:t>
            </w:r>
          </w:p>
        </w:tc>
        <w:tc>
          <w:tcPr>
            <w:tcW w:type="dxa" w:w="136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100,0%+25</w:t>
            </w:r>
          </w:p>
        </w:tc>
        <w:tc>
          <w:tcPr>
            <w:tcW w:type="dxa" w:w="175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1,00-33%</w:t>
            </w:r>
          </w:p>
        </w:tc>
        <w:tc>
          <w:tcPr>
            <w:tcW w:type="dxa" w:w="1814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00:00-100%</w:t>
            </w:r>
          </w:p>
        </w:tc>
      </w:tr>
    </w:tbl>
    <w:p>
      <w:pPr>
        <w:spacing w:after="160"/>
      </w:pPr>
    </w:p>
    <w:p>
      <w:pPr>
        <w:spacing w:after="200" w:before="0" w:line="276" w:lineRule="auto"/>
        <w:jc w:val="both"/>
      </w:pPr>
      <w:r>
        <w:rPr>
          <w:rFonts w:ascii="Calibri" w:hAnsi="Calibri" w:cs="Calibri" w:eastAsia="Calibri"/>
          <w:b w:val="0"/>
          <w:color w:val="5A6472"/>
          <w:sz w:val="20"/>
        </w:rPr>
        <w:t>Яндекс — основной канал (59% всех визитов сайта). Google вырос с низкой базы, отказы лучше (7,5%). Время в Google снизилось (04:21 → 02:48) при росте объёма — смотреть посадки, не только средний визит.</w:t>
      </w: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2"/>
        </w:rPr>
        <w:t>Популярные посадочные страницы по всем источникам</w:t>
      </w:r>
    </w:p>
    <w:p>
      <w:pPr>
        <w:spacing w:after="200" w:before="0" w:line="276" w:lineRule="auto"/>
        <w:jc w:val="left"/>
      </w:pPr>
      <w:r>
        <w:rPr>
          <w:rFonts w:ascii="Calibri" w:hAnsi="Calibri" w:cs="Calibri" w:eastAsia="Calibri"/>
          <w:b w:val="0"/>
          <w:color w:val="5A6472"/>
          <w:sz w:val="18"/>
        </w:rPr>
        <w:t>Яндекс.Метрика → страницы входа · июль vs июнь 2026 · топ-10 новой структуры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DD6"/>
          <w:left w:val="single" w:sz="4" w:space="0" w:color="C5CDD6"/>
          <w:bottom w:val="single" w:sz="4" w:space="0" w:color="C5CDD6"/>
          <w:right w:val="single" w:sz="4" w:space="0" w:color="C5CDD6"/>
          <w:insideH w:val="single" w:sz="4" w:space="0" w:color="C5CDD6"/>
          <w:insideV w:val="single" w:sz="4" w:space="0" w:color="C5CDD6"/>
        </w:tblBorders>
      </w:tblPr>
      <w:tblGrid>
        <w:gridCol w:w="3289"/>
        <w:gridCol w:w="3289"/>
        <w:gridCol w:w="3289"/>
      </w:tblGrid>
      <w:t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№</w:t>
            </w:r>
          </w:p>
        </w:tc>
        <w:tc>
          <w:tcPr>
            <w:tcW w:type="dxa" w:w="7143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Визитов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</w:t>
            </w:r>
          </w:p>
        </w:tc>
        <w:tc>
          <w:tcPr>
            <w:tcW w:type="dxa" w:w="7143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https://центр-каталогизации.рф/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281+61%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</w:t>
            </w:r>
          </w:p>
        </w:tc>
        <w:tc>
          <w:tcPr>
            <w:tcW w:type="dxa" w:w="7143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https://центр-каталогизации.рф/catalogization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37+825%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3</w:t>
            </w:r>
          </w:p>
        </w:tc>
        <w:tc>
          <w:tcPr>
            <w:tcW w:type="dxa" w:w="7143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https://центр-каталогизации.рф/catalogization/katalogizatsiya-produktsii-po-goz-pod-klyuch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20+900%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4</w:t>
            </w:r>
          </w:p>
        </w:tc>
        <w:tc>
          <w:tcPr>
            <w:tcW w:type="dxa" w:w="7143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https://центр-каталогизации.рф/about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20+1900%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5</w:t>
            </w:r>
          </w:p>
        </w:tc>
        <w:tc>
          <w:tcPr>
            <w:tcW w:type="dxa" w:w="7143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https://центр-каталогизации.рф/training-center/seminary-po-katalogizatsii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16+300%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6</w:t>
            </w:r>
          </w:p>
        </w:tc>
        <w:tc>
          <w:tcPr>
            <w:tcW w:type="dxa" w:w="7143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https://центр-каталогизации.рф/articles/zachem-nuzhna-katalogizatsiya-produktsii-i-chto-eto-takoe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12+300%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7</w:t>
            </w:r>
          </w:p>
        </w:tc>
        <w:tc>
          <w:tcPr>
            <w:tcW w:type="dxa" w:w="7143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https://центр-каталогизации.рф/catalogization/razrabotka-standartnyh-formatov-opisaniya-sfo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8</w:t>
            </w:r>
          </w:p>
        </w:tc>
        <w:tc>
          <w:tcPr>
            <w:tcW w:type="dxa" w:w="7143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https://центр-каталогизации.рф/articles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10+400%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9</w:t>
            </w:r>
          </w:p>
        </w:tc>
        <w:tc>
          <w:tcPr>
            <w:tcW w:type="dxa" w:w="7143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https://центр-каталогизации.рф/other-services/dokumenty-dlya-primeneniya-inostrannoy-produktsii-v-vvst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10</w:t>
            </w:r>
          </w:p>
        </w:tc>
        <w:tc>
          <w:tcPr>
            <w:tcW w:type="dxa" w:w="7143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https://центр-каталогизации.рф/catalogization/proverka-nalichiya-produktsii-v-fkp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5+400%</w:t>
            </w:r>
          </w:p>
        </w:tc>
      </w:tr>
    </w:tbl>
    <w:p>
      <w:pPr>
        <w:spacing w:after="160"/>
      </w:pPr>
    </w:p>
    <w:p>
      <w:pPr>
        <w:spacing w:after="200" w:before="0" w:line="276" w:lineRule="auto"/>
        <w:jc w:val="both"/>
      </w:pPr>
      <w:r>
        <w:rPr>
          <w:rFonts w:ascii="Calibri" w:hAnsi="Calibri" w:cs="Calibri" w:eastAsia="Calibri"/>
          <w:b w:val="0"/>
          <w:color w:val="5A6472"/>
          <w:sz w:val="20"/>
        </w:rPr>
        <w:t>Главная забирает 281 из 457 визитов (~61%). Хаб /catalogization вырос с 4 до 37. Лучшая коммерческая посадка — каталогизация по ГОЗ (20 визитов, глубина 2,45, отказы 10%). Старые URL июня (/uslugi/…, /o-kompanii/, старая статья) в июле как входы = 0: миграция на редиректах видна на одном счётчике.</w:t>
      </w: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2"/>
        </w:rPr>
        <w:t>Популярные поисковые фразы</w:t>
      </w:r>
    </w:p>
    <w:p>
      <w:pPr>
        <w:spacing w:after="200" w:before="0" w:line="276" w:lineRule="auto"/>
        <w:jc w:val="left"/>
      </w:pPr>
      <w:r>
        <w:rPr>
          <w:rFonts w:ascii="Calibri" w:hAnsi="Calibri" w:cs="Calibri" w:eastAsia="Calibri"/>
          <w:b w:val="0"/>
          <w:color w:val="5A6472"/>
          <w:sz w:val="18"/>
        </w:rPr>
        <w:t>Яндекс.Метрика → поисковые фразы, июль 2026. В выгрузке — 216 визитов с известной фразой; построчный топ-10 отдельных запросов в пакет не входил, ниже кластеры (как они собраны в рабочем отчёте).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DD6"/>
          <w:left w:val="single" w:sz="4" w:space="0" w:color="C5CDD6"/>
          <w:bottom w:val="single" w:sz="4" w:space="0" w:color="C5CDD6"/>
          <w:right w:val="single" w:sz="4" w:space="0" w:color="C5CDD6"/>
          <w:insideH w:val="single" w:sz="4" w:space="0" w:color="C5CDD6"/>
          <w:insideV w:val="single" w:sz="4" w:space="0" w:color="C5CDD6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№</w:t>
            </w:r>
          </w:p>
        </w:tc>
        <w:tc>
          <w:tcPr>
            <w:tcW w:type="dxa" w:w="5386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Фраза / кластер</w:t>
            </w:r>
          </w:p>
        </w:tc>
        <w:tc>
          <w:tcPr>
            <w:tcW w:type="dxa" w:w="1587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Визитов</w:t>
            </w:r>
          </w:p>
        </w:tc>
        <w:tc>
          <w:tcPr>
            <w:tcW w:type="dxa" w:w="1814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Доля от 216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</w:t>
            </w:r>
          </w:p>
        </w:tc>
        <w:tc>
          <w:tcPr>
            <w:tcW w:type="dxa" w:w="5386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Бренд: «центр каталогизации», ООО, домен</w:t>
            </w:r>
          </w:p>
        </w:tc>
        <w:tc>
          <w:tcPr>
            <w:tcW w:type="dxa" w:w="158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112</w:t>
            </w:r>
          </w:p>
        </w:tc>
        <w:tc>
          <w:tcPr>
            <w:tcW w:type="dxa" w:w="1814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52%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</w:t>
            </w:r>
          </w:p>
        </w:tc>
        <w:tc>
          <w:tcPr>
            <w:tcW w:type="dxa" w:w="5386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Коммерция + info (небренд)</w:t>
            </w:r>
          </w:p>
        </w:tc>
        <w:tc>
          <w:tcPr>
            <w:tcW w:type="dxa" w:w="158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62</w:t>
            </w:r>
          </w:p>
        </w:tc>
        <w:tc>
          <w:tcPr>
            <w:tcW w:type="dxa" w:w="1814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29%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3</w:t>
            </w:r>
          </w:p>
        </w:tc>
        <w:tc>
          <w:tcPr>
            <w:tcW w:type="dxa" w:w="5386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Телефон / ИНН / email / контакты</w:t>
            </w:r>
          </w:p>
        </w:tc>
        <w:tc>
          <w:tcPr>
            <w:tcW w:type="dxa" w:w="158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26</w:t>
            </w:r>
          </w:p>
        </w:tc>
        <w:tc>
          <w:tcPr>
            <w:tcW w:type="dxa" w:w="1814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12%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4</w:t>
            </w:r>
          </w:p>
        </w:tc>
        <w:tc>
          <w:tcPr>
            <w:tcW w:type="dxa" w:w="5386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Шум «каталог сопровождение» (не цель)</w:t>
            </w:r>
          </w:p>
        </w:tc>
        <w:tc>
          <w:tcPr>
            <w:tcW w:type="dxa" w:w="158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16</w:t>
            </w:r>
          </w:p>
        </w:tc>
        <w:tc>
          <w:tcPr>
            <w:tcW w:type="dxa" w:w="1814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7%</w:t>
            </w:r>
          </w:p>
        </w:tc>
      </w:tr>
    </w:tbl>
    <w:p>
      <w:pPr>
        <w:spacing w:after="160"/>
      </w:pPr>
    </w:p>
    <w:p>
      <w:pPr>
        <w:spacing w:after="200" w:before="0" w:line="276" w:lineRule="auto"/>
        <w:jc w:val="both"/>
      </w:pPr>
      <w:r>
        <w:rPr>
          <w:rFonts w:ascii="Calibri" w:hAnsi="Calibri" w:cs="Calibri" w:eastAsia="Calibri"/>
          <w:b w:val="0"/>
          <w:color w:val="5A6472"/>
          <w:sz w:val="20"/>
        </w:rPr>
        <w:t>Рост июля в значительной степени брендовый. Небренд — зона масштабирования: каталогизация / что это / зачем; каталогизация продукции по ГОЗ; СФО / ФКП / ФНН; семинары; иностранная продукция ВВСТ. Запросы «каталог сопровождение» не продвигаем. Для августа нужна сырая таблица топ-10 фраз из Метрики (фраза + визиты + % к июню).</w:t>
      </w: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2"/>
        </w:rPr>
        <w:t>Переходы с сайтов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DD6"/>
          <w:left w:val="single" w:sz="4" w:space="0" w:color="C5CDD6"/>
          <w:bottom w:val="single" w:sz="4" w:space="0" w:color="C5CDD6"/>
          <w:right w:val="single" w:sz="4" w:space="0" w:color="C5CDD6"/>
          <w:insideH w:val="single" w:sz="4" w:space="0" w:color="C5CDD6"/>
          <w:insideV w:val="single" w:sz="4" w:space="0" w:color="C5CDD6"/>
        </w:tblBorders>
      </w:tblPr>
      <w:tblGrid>
        <w:gridCol w:w="3289"/>
        <w:gridCol w:w="3289"/>
        <w:gridCol w:w="3289"/>
      </w:tblGrid>
      <w:t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№</w:t>
            </w:r>
          </w:p>
        </w:tc>
        <w:tc>
          <w:tcPr>
            <w:tcW w:type="dxa" w:w="7143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Визиты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</w:t>
            </w:r>
          </w:p>
        </w:tc>
        <w:tc>
          <w:tcPr>
            <w:tcW w:type="dxa" w:w="7143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https://checko.ru/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</w:t>
            </w:r>
          </w:p>
        </w:tc>
        <w:tc>
          <w:tcPr>
            <w:tcW w:type="dxa" w:w="7143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https://ekspertvvt.bitrix24.ru/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3</w:t>
            </w:r>
          </w:p>
        </w:tc>
        <w:tc>
          <w:tcPr>
            <w:tcW w:type="dxa" w:w="7143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https://metrika.yandex.ru/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67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4</w:t>
            </w:r>
          </w:p>
        </w:tc>
        <w:tc>
          <w:tcPr>
            <w:tcW w:type="dxa" w:w="7143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https://hosting.timeweb.ru/</w:t>
            </w:r>
          </w:p>
        </w:tc>
        <w:tc>
          <w:tcPr>
            <w:tcW w:type="dxa" w:w="1701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0-100%</w:t>
            </w:r>
          </w:p>
        </w:tc>
      </w:tr>
    </w:tbl>
    <w:p>
      <w:pPr>
        <w:spacing w:after="160"/>
      </w:pPr>
    </w:p>
    <w:p>
      <w:pPr>
        <w:spacing w:after="200" w:before="0" w:line="276" w:lineRule="auto"/>
        <w:jc w:val="both"/>
      </w:pPr>
      <w:r>
        <w:rPr>
          <w:rFonts w:ascii="Calibri" w:hAnsi="Calibri" w:cs="Calibri" w:eastAsia="Calibri"/>
          <w:b w:val="0"/>
          <w:color w:val="5A6472"/>
          <w:sz w:val="20"/>
        </w:rPr>
        <w:t>Внешний ссылочный трафик почти отсутствует (~1% визитов). checko.ru — каталог компаний без глубины. Bitrix24 и Метрика — служебные, не маркетинг. Хостинг Timeweb давал 6 визитов в июне и 0 в июле. Как в образце opk, имеет смысл планомерно добавлять отраслевые каталоги и партнёрские упоминания.</w:t>
      </w: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2"/>
        </w:rPr>
        <w:t>Популярные посадочные страницы из поисковых систем</w:t>
      </w:r>
    </w:p>
    <w:p>
      <w:pPr>
        <w:spacing w:after="200" w:before="0" w:line="276" w:lineRule="auto"/>
        <w:jc w:val="both"/>
      </w:pPr>
      <w:r>
        <w:rPr>
          <w:rFonts w:ascii="Calibri" w:hAnsi="Calibri" w:cs="Calibri" w:eastAsia="Calibri"/>
          <w:b w:val="0"/>
          <w:color w:val="5A6472"/>
          <w:sz w:val="20"/>
        </w:rPr>
        <w:t>Отдельная выгрузка «страницы входа» с сегментом только поиск в пакете не приложена. Доля поиска в июле ~74%, поэтому верх таблицы по всем источникам в основном поисковый; главная дополнительно принимает прямые заходы. Ниже — соответствие кластеров спроса посадочным новой структуры (для работы, не как замена сегмента Метрики).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DD6"/>
          <w:left w:val="single" w:sz="4" w:space="0" w:color="C5CDD6"/>
          <w:bottom w:val="single" w:sz="4" w:space="0" w:color="C5CDD6"/>
          <w:right w:val="single" w:sz="4" w:space="0" w:color="C5CDD6"/>
          <w:insideH w:val="single" w:sz="4" w:space="0" w:color="C5CDD6"/>
          <w:insideV w:val="single" w:sz="4" w:space="0" w:color="C5CDD6"/>
        </w:tblBorders>
      </w:tblPr>
      <w:tblGrid>
        <w:gridCol w:w="3289"/>
        <w:gridCol w:w="3289"/>
        <w:gridCol w:w="3289"/>
      </w:tblGrid>
      <w:tr>
        <w:tc>
          <w:tcPr>
            <w:tcW w:type="dxa" w:w="2494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Кластер</w:t>
            </w:r>
          </w:p>
        </w:tc>
        <w:tc>
          <w:tcPr>
            <w:tcW w:type="dxa" w:w="3742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Целевая страница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Что видно в июле</w:t>
            </w:r>
          </w:p>
        </w:tc>
      </w:tr>
      <w:tr>
        <w:trPr>
          <w:cantSplit/>
        </w:trPr>
        <w:tc>
          <w:tcPr>
            <w:tcW w:type="dxa" w:w="2494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Бренд</w:t>
            </w:r>
          </w:p>
        </w:tc>
        <w:tc>
          <w:tcPr>
            <w:tcW w:type="dxa" w:w="3742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/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281 вход; бренд в выдаче отрабатывает</w:t>
            </w:r>
          </w:p>
        </w:tc>
      </w:tr>
      <w:tr>
        <w:trPr>
          <w:cantSplit/>
        </w:trPr>
        <w:tc>
          <w:tcPr>
            <w:tcW w:type="dxa" w:w="2494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Каталогизация / что это / зачем</w:t>
            </w:r>
          </w:p>
        </w:tc>
        <w:tc>
          <w:tcPr>
            <w:tcW w:type="dxa" w:w="3742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/articles/zachem-nuzhna-katalogizatsiya-produktsii-i-chto-eto-takoe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12 входов; в выдаче много показов, CTR низкий</w:t>
            </w:r>
          </w:p>
        </w:tc>
      </w:tr>
      <w:tr>
        <w:trPr>
          <w:cantSplit/>
        </w:trPr>
        <w:tc>
          <w:tcPr>
            <w:tcW w:type="dxa" w:w="2494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Каталогизация продукции по ГОЗ</w:t>
            </w:r>
          </w:p>
        </w:tc>
        <w:tc>
          <w:tcPr>
            <w:tcW w:type="dxa" w:w="3742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/catalogization/katalogizatsiya-produktsii-po-goz-pod-klyuch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20 входов, глубина 2,45 — лучшая коммерция</w:t>
            </w:r>
          </w:p>
        </w:tc>
      </w:tr>
      <w:tr>
        <w:trPr>
          <w:cantSplit/>
        </w:trPr>
        <w:tc>
          <w:tcPr>
            <w:tcW w:type="dxa" w:w="2494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СФО / ФКП / ФНН</w:t>
            </w:r>
          </w:p>
        </w:tc>
        <w:tc>
          <w:tcPr>
            <w:tcW w:type="dxa" w:w="3742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/catalogization/…-sfo, проверка ФКП, КИ-МВН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точечные входы; проверка ФКП — сильный CTR в Вебмастере</w:t>
            </w:r>
          </w:p>
        </w:tc>
      </w:tr>
      <w:tr>
        <w:trPr>
          <w:cantSplit/>
        </w:trPr>
        <w:tc>
          <w:tcPr>
            <w:tcW w:type="dxa" w:w="2494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Семинар / курсы / обучение</w:t>
            </w:r>
          </w:p>
        </w:tc>
        <w:tc>
          <w:tcPr>
            <w:tcW w:type="dxa" w:w="3742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/training-center/seminary-po-katalogizatsii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16 входов, отказы 6%</w:t>
            </w:r>
          </w:p>
        </w:tc>
      </w:tr>
      <w:tr>
        <w:trPr>
          <w:cantSplit/>
        </w:trPr>
        <w:tc>
          <w:tcPr>
            <w:tcW w:type="dxa" w:w="2494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Иностранная продукция / ВВСТ</w:t>
            </w:r>
          </w:p>
        </w:tc>
        <w:tc>
          <w:tcPr>
            <w:tcW w:type="dxa" w:w="3742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/other-services/dokumenty-…-vvst</w:t>
            </w:r>
          </w:p>
        </w:tc>
        <w:tc>
          <w:tcPr>
            <w:tcW w:type="dxa" w:w="3175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7 входов, long-tail</w:t>
            </w:r>
          </w:p>
        </w:tc>
      </w:tr>
    </w:tbl>
    <w:p>
      <w:pPr>
        <w:spacing w:after="160"/>
      </w:pPr>
    </w:p>
    <w:p>
      <w:pPr>
        <w:keepNext/>
        <w:spacing w:before="320" w:after="160"/>
        <w:outlineLvl w:val="1"/>
      </w:pPr>
      <w:r>
        <w:rPr>
          <w:rFonts w:ascii="Calibri" w:hAnsi="Calibri" w:cs="Calibri" w:eastAsia="Calibri"/>
          <w:b/>
          <w:color w:val="1F3864"/>
          <w:sz w:val="32"/>
        </w:rPr>
        <w:t>Источники цифр и что снять в следующем цикле</w:t>
      </w:r>
    </w:p>
    <w:p>
      <w:pPr>
        <w:spacing w:after="120" w:before="0" w:line="276" w:lineRule="auto"/>
        <w:jc w:val="both"/>
      </w:pPr>
      <w:r>
        <w:rPr>
          <w:rFonts w:ascii="Calibri" w:hAnsi="Calibri" w:cs="Calibri" w:eastAsia="Calibri"/>
          <w:b w:val="0"/>
          <w:sz w:val="22"/>
        </w:rPr>
        <w:t>В этом файле нет выдуманных строк Метрики. Основа — выгрузки, уже разобранные во внутренних xlsx (traffic-audit-2026-07.xlsx, «Центр каталогизации отчет июнь-июль 2026.xlsx»), снятые 30.07.2026.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5CDD6"/>
          <w:left w:val="single" w:sz="4" w:space="0" w:color="C5CDD6"/>
          <w:bottom w:val="single" w:sz="4" w:space="0" w:color="C5CDD6"/>
          <w:right w:val="single" w:sz="4" w:space="0" w:color="C5CDD6"/>
          <w:insideH w:val="single" w:sz="4" w:space="0" w:color="C5CDD6"/>
          <w:insideV w:val="single" w:sz="4" w:space="0" w:color="C5CDD6"/>
        </w:tblBorders>
      </w:tblPr>
      <w:tblGrid>
        <w:gridCol w:w="3289"/>
        <w:gridCol w:w="3289"/>
        <w:gridCol w:w="3289"/>
      </w:tblGrid>
      <w:tr>
        <w:tc>
          <w:tcPr>
            <w:tcW w:type="dxa" w:w="2948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Срез</w:t>
            </w:r>
          </w:p>
        </w:tc>
        <w:tc>
          <w:tcPr>
            <w:tcW w:type="dxa" w:w="2948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Статус в этом отчёте</w:t>
            </w:r>
          </w:p>
        </w:tc>
        <w:tc>
          <w:tcPr>
            <w:tcW w:type="dxa" w:w="3515"/>
            <w:tcMar>
              <w:top w:w="45" w:type="dxa"/>
              <w:bottom w:w="45" w:type="dxa"/>
              <w:left w:w="68" w:type="dxa"/>
              <w:right w:w="68" w:type="dxa"/>
            </w:tcMar>
            <w:shd w:fill="1F3864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/>
                <w:color w:val="FFFFFF"/>
                <w:sz w:val="18"/>
              </w:rPr>
              <w:t>Что прислать в августе</w:t>
            </w:r>
          </w:p>
        </w:tc>
      </w:tr>
      <w:tr>
        <w:trPr>
          <w:cantSplit/>
        </w:trPr>
        <w:tc>
          <w:tcPr>
            <w:tcW w:type="dxa" w:w="2948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Сводка, каналы, поисковые системы</w:t>
            </w:r>
          </w:p>
        </w:tc>
        <w:tc>
          <w:tcPr>
            <w:tcW w:type="dxa" w:w="2948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Есть</w:t>
            </w:r>
          </w:p>
        </w:tc>
        <w:tc>
          <w:tcPr>
            <w:tcW w:type="dxa" w:w="3515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Тот же отчёт за полный календарный месяц</w:t>
            </w:r>
          </w:p>
        </w:tc>
      </w:tr>
      <w:tr>
        <w:trPr>
          <w:cantSplit/>
        </w:trPr>
        <w:tc>
          <w:tcPr>
            <w:tcW w:type="dxa" w:w="2948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Страницы входа</w:t>
            </w:r>
          </w:p>
        </w:tc>
        <w:tc>
          <w:tcPr>
            <w:tcW w:type="dxa" w:w="2948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Есть (все источники)</w:t>
            </w:r>
          </w:p>
        </w:tc>
        <w:tc>
          <w:tcPr>
            <w:tcW w:type="dxa" w:w="3515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Плюс сегмент только поиск, топ-10</w:t>
            </w:r>
          </w:p>
        </w:tc>
      </w:tr>
      <w:tr>
        <w:trPr>
          <w:cantSplit/>
        </w:trPr>
        <w:tc>
          <w:tcPr>
            <w:tcW w:type="dxa" w:w="2948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Кластеры фраз</w:t>
            </w:r>
          </w:p>
        </w:tc>
        <w:tc>
          <w:tcPr>
            <w:tcW w:type="dxa" w:w="2948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Есть</w:t>
            </w:r>
          </w:p>
        </w:tc>
        <w:tc>
          <w:tcPr>
            <w:tcW w:type="dxa" w:w="3515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Сырой топ-10 фраз с дельтой к прошлому месяцу</w:t>
            </w:r>
          </w:p>
        </w:tc>
      </w:tr>
      <w:tr>
        <w:trPr>
          <w:cantSplit/>
        </w:trPr>
        <w:tc>
          <w:tcPr>
            <w:tcW w:type="dxa" w:w="2948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Рефералы</w:t>
            </w:r>
          </w:p>
        </w:tc>
        <w:tc>
          <w:tcPr>
            <w:tcW w:type="dxa" w:w="2948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Есть</w:t>
            </w:r>
          </w:p>
        </w:tc>
        <w:tc>
          <w:tcPr>
            <w:tcW w:type="dxa" w:w="3515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Как есть</w:t>
            </w:r>
          </w:p>
        </w:tc>
      </w:tr>
      <w:tr>
        <w:trPr>
          <w:cantSplit/>
        </w:trPr>
        <w:tc>
          <w:tcPr>
            <w:tcW w:type="dxa" w:w="2948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Конверсии</w:t>
            </w:r>
          </w:p>
        </w:tc>
        <w:tc>
          <w:tcPr>
            <w:tcW w:type="dxa" w:w="2948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Телефон 3/3, заявки 8</w:t>
            </w:r>
          </w:p>
        </w:tc>
        <w:tc>
          <w:tcPr>
            <w:tcW w:type="dxa" w:w="3515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Цели × поиск и цели × страница входа</w:t>
            </w:r>
          </w:p>
        </w:tc>
      </w:tr>
      <w:tr>
        <w:trPr>
          <w:cantSplit/>
        </w:trPr>
        <w:tc>
          <w:tcPr>
            <w:tcW w:type="dxa" w:w="2948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Устройства</w:t>
            </w:r>
          </w:p>
        </w:tc>
        <w:tc>
          <w:tcPr>
            <w:tcW w:type="dxa" w:w="2948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Нет выгрузки</w:t>
            </w:r>
          </w:p>
        </w:tc>
        <w:tc>
          <w:tcPr>
            <w:tcW w:type="dxa" w:w="3515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Технологии → Устройства</w:t>
            </w:r>
          </w:p>
        </w:tc>
      </w:tr>
      <w:tr>
        <w:trPr>
          <w:cantSplit/>
        </w:trPr>
        <w:tc>
          <w:tcPr>
            <w:tcW w:type="dxa" w:w="2948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География</w:t>
            </w:r>
          </w:p>
        </w:tc>
        <w:tc>
          <w:tcPr>
            <w:tcW w:type="dxa" w:w="2948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Нет выгрузки</w:t>
            </w:r>
          </w:p>
        </w:tc>
        <w:tc>
          <w:tcPr>
            <w:tcW w:type="dxa" w:w="3515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Аудитория → География, топ-10</w:t>
            </w:r>
          </w:p>
        </w:tc>
      </w:tr>
      <w:tr>
        <w:trPr>
          <w:cantSplit/>
        </w:trPr>
        <w:tc>
          <w:tcPr>
            <w:tcW w:type="dxa" w:w="2948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График поиска vs прошлый месяц</w:t>
            </w:r>
          </w:p>
        </w:tc>
        <w:tc>
          <w:tcPr>
            <w:tcW w:type="dxa" w:w="2948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Только итоги</w:t>
            </w:r>
          </w:p>
        </w:tc>
        <w:tc>
          <w:tcPr>
            <w:tcW w:type="dxa" w:w="3515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Скрин по дням</w:t>
            </w:r>
          </w:p>
        </w:tc>
      </w:tr>
      <w:tr>
        <w:trPr>
          <w:cantSplit/>
        </w:trPr>
        <w:tc>
          <w:tcPr>
            <w:tcW w:type="dxa" w:w="2948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Поиск vs июль 2025</w:t>
            </w:r>
          </w:p>
        </w:tc>
        <w:tc>
          <w:tcPr>
            <w:tcW w:type="dxa" w:w="2948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Нет</w:t>
            </w:r>
          </w:p>
        </w:tc>
        <w:tc>
          <w:tcPr>
            <w:tcW w:type="dxa" w:w="3515"/>
            <w:tcMar>
              <w:top w:w="45" w:type="dxa"/>
              <w:bottom w:w="45" w:type="dxa"/>
              <w:left w:w="68" w:type="dxa"/>
              <w:right w:w="68" w:type="dxa"/>
            </w:tcMar>
            <w:shd w:fill="FFFFFF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Тот же сегмент, второй период — июль 2025</w:t>
            </w:r>
          </w:p>
        </w:tc>
      </w:tr>
      <w:tr>
        <w:trPr>
          <w:cantSplit/>
        </w:trPr>
        <w:tc>
          <w:tcPr>
            <w:tcW w:type="dxa" w:w="2948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Позиции РФ / СПб</w:t>
            </w:r>
          </w:p>
        </w:tc>
        <w:tc>
          <w:tcPr>
            <w:tcW w:type="dxa" w:w="2948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Нет трекера</w:t>
            </w:r>
          </w:p>
        </w:tc>
        <w:tc>
          <w:tcPr>
            <w:tcW w:type="dxa" w:w="3515"/>
            <w:tcMar>
              <w:top w:w="45" w:type="dxa"/>
              <w:bottom w:w="45" w:type="dxa"/>
              <w:left w:w="68" w:type="dxa"/>
              <w:right w:w="68" w:type="dxa"/>
            </w:tcMar>
            <w:shd w:fill="F4F7FA" w:val="clear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Calibri" w:hAnsi="Calibri" w:cs="Calibri" w:eastAsia="Calibri"/>
                <w:b w:val="0"/>
                <w:sz w:val="18"/>
              </w:rPr>
              <w:t>Topvisor или аналог, Яндекс и Google</w:t>
            </w:r>
          </w:p>
        </w:tc>
      </w:tr>
    </w:tbl>
    <w:p>
      <w:pPr>
        <w:spacing w:after="160"/>
      </w:pPr>
    </w:p>
    <w:p>
      <w:pPr>
        <w:spacing w:after="0" w:before="160" w:line="276" w:lineRule="auto"/>
        <w:jc w:val="left"/>
      </w:pPr>
      <w:r>
        <w:rPr>
          <w:rFonts w:ascii="Calibri" w:hAnsi="Calibri" w:cs="Calibri" w:eastAsia="Calibri"/>
          <w:b w:val="0"/>
          <w:color w:val="5A6472"/>
          <w:sz w:val="18"/>
        </w:rPr>
        <w:t>Отчёт собран по структуре образца opk.spb.ru (список работ + блоки Метрики). Блоки Google Search Console, ИКС и история индексирования сознательно не включались.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Calibri"/>
        <w:b w:val="0"/>
        <w:color w:val="5A6472"/>
        <w:sz w:val="16"/>
      </w:rPr>
      <w:t xml:space="preserve">Счётчик Яндекс.Метрики </w:t>
    </w:r>
    <w:r>
      <w:rPr>
        <w:rFonts w:ascii="Calibri" w:hAnsi="Calibri" w:cs="Calibri" w:eastAsia="Calibri"/>
        <w:b w:val="0"/>
        <w:color w:val="5A6472"/>
        <w:sz w:val="16"/>
      </w:rPr>
      <w:t>98614192</w:t>
    </w:r>
    <w:r>
      <w:rPr>
        <w:rFonts w:ascii="Calibri" w:hAnsi="Calibri" w:cs="Calibri" w:eastAsia="Calibri"/>
        <w:b w:val="0"/>
        <w:color w:val="5A6472"/>
        <w:sz w:val="16"/>
      </w:rPr>
      <w:t xml:space="preserve">   ·   </w:t>
    </w:r>
    <w:r>
      <w:rPr>
        <w:rFonts w:ascii="Calibri" w:hAnsi="Calibri" w:cs="Calibri" w:eastAsia="Calibri"/>
        <w:b w:val="0"/>
        <w:color w:val="5A6472"/>
        <w:sz w:val="16"/>
      </w:rPr>
      <w:t xml:space="preserve">стр. </w:t>
    </w:r>
    <w:fldSimple w:instr="PAGE">
      <w:r>
        <w:rPr>
          <w:sz w:val="16"/>
        </w:rPr>
        <w:t>1</w:t>
      </w:r>
    </w:fldSimple>
    <w:r>
      <w:rPr>
        <w:rFonts w:ascii="Calibri" w:hAnsi="Calibri" w:cs="Calibri" w:eastAsia="Calibri"/>
        <w:b w:val="0"/>
        <w:color w:val="5A6472"/>
        <w:sz w:val="16"/>
      </w:rPr>
      <w:t xml:space="preserve"> из </w:t>
    </w:r>
    <w:fldSimple w:instr="NUMPAGES">
      <w:r>
        <w:rPr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cs="Calibri" w:eastAsia="Calibri"/>
        <w:b w:val="0"/>
        <w:color w:val="5A6472"/>
        <w:sz w:val="16"/>
      </w:rPr>
      <w:t>центр-каталогизации.рф  ·  отчёт о продвижении  ·  июль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6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