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CD05C">
      <w:pPr>
        <w:spacing w:before="200" w:after="200"/>
        <w:rPr>
          <w:rFonts w:ascii="Times New Roman" w:hAnsi="Times New Roman"/>
        </w:rPr>
      </w:pPr>
    </w:p>
    <w:p w14:paraId="42B2289F">
      <w:pPr>
        <w:spacing w:before="100" w:after="100"/>
        <w:jc w:val="center"/>
        <w:rPr>
          <w:rFonts w:ascii="Times New Roman" w:hAnsi="Times New Roman"/>
        </w:rPr>
      </w:pPr>
      <w:r>
        <w:rPr>
          <w:rFonts w:ascii="Times New Roman" w:hAnsi="Times New Roman"/>
          <w:color w:val="595959"/>
        </w:rPr>
        <w:t>AI + 合成生物创新大赛 · 2026 赛季</w:t>
      </w:r>
    </w:p>
    <w:p w14:paraId="47CD3560">
      <w:pPr>
        <w:spacing w:before="160" w:after="160"/>
        <w:rPr>
          <w:rFonts w:ascii="Times New Roman" w:hAnsi="Times New Roman"/>
        </w:rPr>
      </w:pPr>
    </w:p>
    <w:p w14:paraId="26858702">
      <w:pPr>
        <w:spacing w:before="100" w:after="100"/>
        <w:jc w:val="center"/>
        <w:rPr>
          <w:rFonts w:ascii="Times New Roman" w:hAnsi="Times New Roman"/>
        </w:rPr>
      </w:pPr>
      <w:r>
        <w:rPr>
          <w:rFonts w:ascii="Times New Roman" w:hAnsi="Times New Roman"/>
          <w:b/>
          <w:bCs/>
          <w:color w:val="1F4E79"/>
          <w:sz w:val="38"/>
          <w:szCs w:val="38"/>
        </w:rPr>
        <w:t>AI 技 术 方 案 书</w:t>
      </w:r>
    </w:p>
    <w:p w14:paraId="6B99171D">
      <w:pPr>
        <w:spacing w:before="100" w:after="100"/>
        <w:jc w:val="center"/>
        <w:rPr>
          <w:rFonts w:ascii="Times New Roman" w:hAnsi="Times New Roman"/>
        </w:rPr>
      </w:pPr>
      <w:r>
        <w:rPr>
          <w:rFonts w:ascii="Times New Roman" w:hAnsi="Times New Roman"/>
          <w:color w:val="595959"/>
          <w:sz w:val="26"/>
          <w:szCs w:val="26"/>
        </w:rPr>
        <w:t>与</w:t>
      </w:r>
    </w:p>
    <w:p w14:paraId="6B18A6FF">
      <w:pPr>
        <w:spacing w:before="100" w:after="100"/>
        <w:jc w:val="center"/>
        <w:rPr>
          <w:rFonts w:ascii="Times New Roman" w:hAnsi="Times New Roman"/>
        </w:rPr>
      </w:pPr>
      <w:r>
        <w:rPr>
          <w:rFonts w:ascii="Times New Roman" w:hAnsi="Times New Roman"/>
          <w:b/>
          <w:bCs/>
          <w:color w:val="1F4E79"/>
          <w:sz w:val="38"/>
          <w:szCs w:val="38"/>
        </w:rPr>
        <w:t>初 步 安 全 审 批 表</w:t>
      </w:r>
    </w:p>
    <w:p w14:paraId="2BCB8165">
      <w:pPr>
        <w:spacing w:before="80" w:after="80"/>
        <w:rPr>
          <w:rFonts w:ascii="Times New Roman" w:hAnsi="Times New Roman"/>
        </w:rPr>
      </w:pPr>
    </w:p>
    <w:p w14:paraId="392FC3CD">
      <w:pPr>
        <w:spacing w:before="100" w:after="100"/>
        <w:jc w:val="center"/>
        <w:rPr>
          <w:rFonts w:ascii="Times New Roman" w:hAnsi="Times New Roman"/>
        </w:rPr>
      </w:pPr>
      <w:r>
        <w:rPr>
          <w:rFonts w:ascii="Times New Roman" w:hAnsi="Times New Roman"/>
          <w:color w:val="2E75B6"/>
          <w:sz w:val="28"/>
          <w:szCs w:val="28"/>
        </w:rPr>
        <w:t>提  交  指  南  与  模  板</w:t>
      </w:r>
    </w:p>
    <w:p w14:paraId="78776D94">
      <w:pPr>
        <w:spacing w:before="60" w:after="60"/>
        <w:rPr>
          <w:rFonts w:ascii="Times New Roman" w:hAnsi="Times New Roman"/>
        </w:rPr>
      </w:pPr>
    </w:p>
    <w:p w14:paraId="18B3CC5E">
      <w:pPr>
        <w:spacing w:before="100" w:after="100"/>
        <w:jc w:val="center"/>
        <w:rPr>
          <w:rFonts w:ascii="Times New Roman" w:hAnsi="Times New Roman"/>
        </w:rPr>
      </w:pPr>
      <w:r>
        <w:rPr>
          <w:rFonts w:ascii="Times New Roman" w:hAnsi="Times New Roman"/>
          <w:i/>
          <w:iCs/>
          <w:color w:val="595959"/>
          <w:sz w:val="20"/>
          <w:szCs w:val="20"/>
        </w:rPr>
        <w:t>AI Technical Proposal &amp; Preliminary Safety Form — Submission Guide</w:t>
      </w:r>
    </w:p>
    <w:p w14:paraId="44B3E087">
      <w:pPr>
        <w:spacing w:before="120" w:after="120"/>
        <w:rPr>
          <w:rFonts w:ascii="Times New Roman" w:hAnsi="Times New Roman"/>
        </w:rPr>
      </w:pPr>
    </w:p>
    <w:p w14:paraId="43B98597">
      <w:pPr>
        <w:pBdr>
          <w:bottom w:val="single" w:color="B4C7E7" w:sz="6" w:space="4"/>
        </w:pBdr>
        <w:spacing w:before="120" w:after="120"/>
        <w:rPr>
          <w:rFonts w:ascii="Times New Roman" w:hAnsi="Times New Roman"/>
        </w:rPr>
      </w:pPr>
    </w:p>
    <w:p w14:paraId="3F46D6EF">
      <w:pPr>
        <w:spacing w:before="80" w:after="80"/>
        <w:rPr>
          <w:rFonts w:ascii="Times New Roman" w:hAnsi="Times New Roman"/>
        </w:rPr>
      </w:pPr>
    </w:p>
    <w:p w14:paraId="1BB069F1">
      <w:pPr>
        <w:spacing w:before="100" w:after="100" w:line="380" w:lineRule="auto"/>
        <w:jc w:val="both"/>
        <w:rPr>
          <w:rFonts w:ascii="Times New Roman" w:hAnsi="Times New Roman"/>
        </w:rPr>
      </w:pPr>
      <w:r>
        <w:rPr>
          <w:rFonts w:ascii="Times New Roman" w:hAnsi="Times New Roman"/>
          <w:color w:val="1F1F1F"/>
        </w:rPr>
        <w:t>本指南面向已通过开题展示、进入研发执行阶段的参赛队伍，说明 5 月 31 日前须提交的两份关键材料：AI 技术方案书与初步安全审批表。</w:t>
      </w:r>
    </w:p>
    <w:p w14:paraId="59DCF13B">
      <w:pPr>
        <w:spacing w:before="100" w:after="100" w:line="380" w:lineRule="auto"/>
        <w:jc w:val="both"/>
        <w:rPr>
          <w:rFonts w:ascii="Times New Roman" w:hAnsi="Times New Roman"/>
        </w:rPr>
      </w:pPr>
      <w:r>
        <w:rPr>
          <w:rFonts w:ascii="Times New Roman" w:hAnsi="Times New Roman"/>
          <w:color w:val="1F1F1F"/>
        </w:rPr>
        <w:t>本文档分为三部分：第一部分为提交说明；第二部分为 AI 技术方案书的内容要求与模板；第三部分为初步安全审批表的内容要求与模板。请各队按照模板填写并以 .docx 格式提交至大赛官方平台。</w:t>
      </w:r>
    </w:p>
    <w:p w14:paraId="0C1F447F">
      <w:pPr>
        <w:rPr>
          <w:rFonts w:ascii="Times New Roman" w:hAnsi="Times New Roman"/>
        </w:rPr>
      </w:pPr>
      <w:r>
        <w:rPr>
          <w:rFonts w:ascii="Times New Roman" w:hAnsi="Times New Roman"/>
        </w:rPr>
        <w:br w:type="page"/>
      </w:r>
    </w:p>
    <w:p w14:paraId="26936A5F">
      <w:pPr>
        <w:pStyle w:val="2"/>
        <w:pBdr>
          <w:bottom w:val="single" w:color="1F4E79" w:sz="12" w:space="6"/>
        </w:pBdr>
        <w:rPr>
          <w:rFonts w:ascii="Times New Roman" w:hAnsi="Times New Roman"/>
        </w:rPr>
      </w:pPr>
      <w:r>
        <w:rPr>
          <w:rFonts w:ascii="Times New Roman" w:hAnsi="Times New Roman"/>
        </w:rPr>
        <w:t>第一部分　提交说明</w:t>
      </w:r>
    </w:p>
    <w:p w14:paraId="006474C4">
      <w:pPr>
        <w:pStyle w:val="3"/>
        <w:rPr>
          <w:rFonts w:ascii="Times New Roman" w:hAnsi="Times New Roman"/>
        </w:rPr>
      </w:pPr>
      <w:r>
        <w:rPr>
          <w:rFonts w:ascii="Times New Roman" w:hAnsi="Times New Roman"/>
        </w:rPr>
        <w:t>1.1　提交时间与方式</w:t>
      </w:r>
    </w:p>
    <w:p w14:paraId="28E023CC">
      <w:pPr>
        <w:pStyle w:val="20"/>
        <w:numPr>
          <w:ilvl w:val="0"/>
          <w:numId w:val="1"/>
        </w:numPr>
        <w:spacing w:before="60" w:after="60" w:line="360" w:lineRule="auto"/>
        <w:rPr>
          <w:rFonts w:ascii="Times New Roman" w:hAnsi="Times New Roman"/>
        </w:rPr>
      </w:pPr>
      <w:r>
        <w:rPr>
          <w:rFonts w:ascii="Times New Roman" w:hAnsi="Times New Roman"/>
          <w:b/>
          <w:bCs/>
          <w:color w:val="1F1F1F"/>
        </w:rPr>
        <w:t>截止时间：</w:t>
      </w:r>
      <w:r>
        <w:rPr>
          <w:rFonts w:ascii="Times New Roman" w:hAnsi="Times New Roman"/>
          <w:b/>
          <w:bCs/>
          <w:color w:val="C55A11"/>
        </w:rPr>
        <w:t>2026 年 5 月 31 日 23:00（北京时间）</w:t>
      </w:r>
      <w:r>
        <w:rPr>
          <w:rFonts w:ascii="Times New Roman" w:hAnsi="Times New Roman"/>
          <w:color w:val="1F1F1F"/>
        </w:rPr>
        <w:t>，逾期不予受理。</w:t>
      </w:r>
    </w:p>
    <w:p w14:paraId="39CA237A">
      <w:pPr>
        <w:pStyle w:val="20"/>
        <w:numPr>
          <w:ilvl w:val="0"/>
          <w:numId w:val="1"/>
        </w:numPr>
        <w:spacing w:before="60" w:after="60" w:line="360" w:lineRule="auto"/>
        <w:rPr>
          <w:rFonts w:ascii="Times New Roman" w:hAnsi="Times New Roman"/>
        </w:rPr>
      </w:pPr>
      <w:r>
        <w:rPr>
          <w:rFonts w:ascii="Times New Roman" w:hAnsi="Times New Roman"/>
          <w:color w:val="1F1F1F"/>
        </w:rPr>
        <w:t>提交方式：通过大赛官方</w:t>
      </w:r>
      <w:r>
        <w:rPr>
          <w:rFonts w:hint="eastAsia" w:ascii="Times New Roman" w:hAnsi="Times New Roman"/>
          <w:color w:val="1F1F1F"/>
        </w:rPr>
        <w:t>提供的Gitee代码仓库提交，并存储至制定文件路径下。</w:t>
      </w:r>
    </w:p>
    <w:p w14:paraId="1ABFC36F">
      <w:pPr>
        <w:pStyle w:val="20"/>
        <w:numPr>
          <w:ilvl w:val="0"/>
          <w:numId w:val="1"/>
        </w:numPr>
        <w:spacing w:before="60" w:after="60" w:line="360" w:lineRule="auto"/>
        <w:rPr>
          <w:rFonts w:ascii="Times New Roman" w:hAnsi="Times New Roman"/>
        </w:rPr>
      </w:pPr>
      <w:r>
        <w:rPr>
          <w:rFonts w:ascii="Times New Roman" w:hAnsi="Times New Roman"/>
          <w:color w:val="1F1F1F"/>
        </w:rPr>
        <w:t>两份文件须同时提交，缺一即视为未完成本节点交付。</w:t>
      </w:r>
    </w:p>
    <w:p w14:paraId="49B93112">
      <w:pPr>
        <w:pStyle w:val="20"/>
        <w:numPr>
          <w:ilvl w:val="0"/>
          <w:numId w:val="1"/>
        </w:numPr>
        <w:spacing w:before="60" w:after="60" w:line="360" w:lineRule="auto"/>
        <w:rPr>
          <w:rFonts w:ascii="Times New Roman" w:hAnsi="Times New Roman"/>
        </w:rPr>
      </w:pPr>
      <w:r>
        <w:rPr>
          <w:rFonts w:ascii="Times New Roman" w:hAnsi="Times New Roman"/>
          <w:color w:val="1F1F1F"/>
        </w:rPr>
        <w:t>后续如有重大修订（如更换模型架构、新增动物实验等），须主动重新提交带版本号的更新文件，并在邮件正文中说明修订要点。</w:t>
      </w:r>
    </w:p>
    <w:p w14:paraId="609C5EC5">
      <w:pPr>
        <w:pStyle w:val="3"/>
        <w:rPr>
          <w:rFonts w:ascii="Times New Roman" w:hAnsi="Times New Roman"/>
        </w:rPr>
      </w:pPr>
      <w:r>
        <w:rPr>
          <w:rFonts w:ascii="Times New Roman" w:hAnsi="Times New Roman"/>
        </w:rPr>
        <w:t>1.2　审核流程</w:t>
      </w:r>
    </w:p>
    <w:p w14:paraId="69ECA699">
      <w:pPr>
        <w:pStyle w:val="20"/>
        <w:numPr>
          <w:ilvl w:val="0"/>
          <w:numId w:val="2"/>
        </w:numPr>
        <w:spacing w:before="60" w:after="60" w:line="360" w:lineRule="auto"/>
        <w:rPr>
          <w:rFonts w:ascii="Times New Roman" w:hAnsi="Times New Roman"/>
        </w:rPr>
      </w:pPr>
      <w:r>
        <w:rPr>
          <w:rFonts w:ascii="Times New Roman" w:hAnsi="Times New Roman"/>
          <w:color w:val="1F1F1F"/>
        </w:rPr>
        <w:t xml:space="preserve">组委会在收到材料后 </w:t>
      </w:r>
      <w:r>
        <w:rPr>
          <w:rFonts w:hint="eastAsia" w:ascii="Times New Roman" w:hAnsi="Times New Roman"/>
          <w:color w:val="1F1F1F"/>
        </w:rPr>
        <w:t>5</w:t>
      </w:r>
      <w:r>
        <w:rPr>
          <w:rFonts w:ascii="Times New Roman" w:hAnsi="Times New Roman"/>
          <w:color w:val="1F1F1F"/>
        </w:rPr>
        <w:t xml:space="preserve"> 个工作日内完成初步形式审查；</w:t>
      </w:r>
    </w:p>
    <w:p w14:paraId="36C01F2A">
      <w:pPr>
        <w:pStyle w:val="20"/>
        <w:numPr>
          <w:ilvl w:val="0"/>
          <w:numId w:val="2"/>
        </w:numPr>
        <w:spacing w:before="60" w:after="60" w:line="360" w:lineRule="auto"/>
        <w:rPr>
          <w:rFonts w:ascii="Times New Roman" w:hAnsi="Times New Roman"/>
        </w:rPr>
      </w:pPr>
      <w:r>
        <w:rPr>
          <w:rFonts w:ascii="Times New Roman" w:hAnsi="Times New Roman"/>
          <w:color w:val="1F1F1F"/>
        </w:rPr>
        <w:t>AI 技术方案由学术委员会进行内容审阅，安全审批表由安全与伦理委员会审阅；</w:t>
      </w:r>
    </w:p>
    <w:p w14:paraId="03785119">
      <w:pPr>
        <w:pStyle w:val="20"/>
        <w:numPr>
          <w:ilvl w:val="0"/>
          <w:numId w:val="2"/>
        </w:numPr>
        <w:spacing w:before="60" w:after="60" w:line="360" w:lineRule="auto"/>
        <w:rPr>
          <w:rFonts w:ascii="Times New Roman" w:hAnsi="Times New Roman"/>
        </w:rPr>
      </w:pPr>
      <w:r>
        <w:rPr>
          <w:rFonts w:ascii="Times New Roman" w:hAnsi="Times New Roman"/>
          <w:color w:val="1F1F1F"/>
        </w:rPr>
        <w:t>审核结果分为"通过 / 有条件通过 / 需修订重交"三类，将通过邮件统一反馈；</w:t>
      </w:r>
    </w:p>
    <w:p w14:paraId="39CBE075">
      <w:pPr>
        <w:pStyle w:val="20"/>
        <w:numPr>
          <w:ilvl w:val="0"/>
          <w:numId w:val="2"/>
        </w:numPr>
        <w:spacing w:before="60" w:after="60" w:line="360" w:lineRule="auto"/>
        <w:rPr>
          <w:rFonts w:ascii="Times New Roman" w:hAnsi="Times New Roman"/>
        </w:rPr>
      </w:pPr>
      <w:r>
        <w:rPr>
          <w:rFonts w:ascii="Times New Roman" w:hAnsi="Times New Roman"/>
          <w:color w:val="1F1F1F"/>
        </w:rPr>
        <w:t>涉及第八章 8.2 列举的预审批事项的项目，须在审批表"通过"后方可正式开展相关实验。</w:t>
      </w:r>
    </w:p>
    <w:p w14:paraId="5D6EC111">
      <w:pPr>
        <w:pStyle w:val="3"/>
        <w:rPr>
          <w:rFonts w:ascii="Times New Roman" w:hAnsi="Times New Roman"/>
        </w:rPr>
      </w:pPr>
      <w:r>
        <w:rPr>
          <w:rFonts w:ascii="Times New Roman" w:hAnsi="Times New Roman"/>
        </w:rPr>
        <w:t>1.3　常见问题与建议</w:t>
      </w:r>
    </w:p>
    <w:p w14:paraId="7CF19DD6">
      <w:pPr>
        <w:pStyle w:val="20"/>
        <w:numPr>
          <w:ilvl w:val="0"/>
          <w:numId w:val="1"/>
        </w:numPr>
        <w:spacing w:before="60" w:after="60" w:line="360" w:lineRule="auto"/>
        <w:rPr>
          <w:rFonts w:ascii="Times New Roman" w:hAnsi="Times New Roman"/>
        </w:rPr>
      </w:pPr>
      <w:r>
        <w:rPr>
          <w:rFonts w:ascii="Times New Roman" w:hAnsi="Times New Roman"/>
          <w:color w:val="1F1F1F"/>
        </w:rPr>
        <w:t>AI 技术方案书的目的是让评委理解你们打算"做什么、怎么做、做到什么程度可衡量"，建议聚焦关键技术决策与可验证指标，避免大段背景综述；</w:t>
      </w:r>
    </w:p>
    <w:p w14:paraId="5C4113D3">
      <w:pPr>
        <w:pStyle w:val="20"/>
        <w:numPr>
          <w:ilvl w:val="0"/>
          <w:numId w:val="1"/>
        </w:numPr>
        <w:spacing w:before="60" w:after="60" w:line="360" w:lineRule="auto"/>
        <w:rPr>
          <w:rFonts w:ascii="Times New Roman" w:hAnsi="Times New Roman"/>
        </w:rPr>
      </w:pPr>
      <w:r>
        <w:rPr>
          <w:rFonts w:ascii="Times New Roman" w:hAnsi="Times New Roman"/>
          <w:color w:val="1F1F1F"/>
        </w:rPr>
        <w:t>安全审批表请实事求是填写，所有可能涉及的风险点都列出反而对项目有利；漏报或回避将在后续抽查中带来更大风险；</w:t>
      </w:r>
    </w:p>
    <w:p w14:paraId="3E441345">
      <w:pPr>
        <w:pStyle w:val="20"/>
        <w:numPr>
          <w:ilvl w:val="0"/>
          <w:numId w:val="1"/>
        </w:numPr>
        <w:spacing w:before="60" w:after="60" w:line="360" w:lineRule="auto"/>
        <w:rPr>
          <w:rFonts w:ascii="Times New Roman" w:hAnsi="Times New Roman"/>
        </w:rPr>
      </w:pPr>
      <w:r>
        <w:rPr>
          <w:rFonts w:ascii="Times New Roman" w:hAnsi="Times New Roman"/>
          <w:color w:val="1F1F1F"/>
        </w:rPr>
        <w:t>若项目</w:t>
      </w:r>
      <w:r>
        <w:rPr>
          <w:rFonts w:ascii="Times New Roman" w:hAnsi="Times New Roman"/>
          <w:b/>
          <w:bCs/>
          <w:color w:val="1F4E79"/>
        </w:rPr>
        <w:t>不涉及任何 8.2 节预审批事项</w:t>
      </w:r>
      <w:r>
        <w:rPr>
          <w:rFonts w:ascii="Times New Roman" w:hAnsi="Times New Roman"/>
          <w:color w:val="1F1F1F"/>
        </w:rPr>
        <w:t>，请在审批表对应栏目中明确勾选"否"，并提交"无预审批事项声明"。</w:t>
      </w:r>
    </w:p>
    <w:p w14:paraId="54A40F10">
      <w:pPr>
        <w:pStyle w:val="2"/>
        <w:pBdr>
          <w:bottom w:val="single" w:color="1F4E79" w:sz="12" w:space="6"/>
        </w:pBdr>
        <w:rPr>
          <w:rFonts w:ascii="Times New Roman" w:hAnsi="Times New Roman"/>
        </w:rPr>
      </w:pPr>
      <w:r>
        <w:rPr>
          <w:rFonts w:ascii="Times New Roman" w:hAnsi="Times New Roman"/>
        </w:rPr>
        <w:t>第二部分　AI 技术方案书</w:t>
      </w:r>
    </w:p>
    <w:p w14:paraId="34E2C037">
      <w:pPr>
        <w:pStyle w:val="3"/>
        <w:rPr>
          <w:rFonts w:ascii="Times New Roman" w:hAnsi="Times New Roman"/>
        </w:rPr>
      </w:pPr>
      <w:r>
        <w:rPr>
          <w:rFonts w:ascii="Times New Roman" w:hAnsi="Times New Roman"/>
        </w:rPr>
        <w:t>2.1　内容要求</w:t>
      </w:r>
    </w:p>
    <w:p w14:paraId="79F4CAEE">
      <w:pPr>
        <w:spacing w:before="100" w:after="100" w:line="380" w:lineRule="auto"/>
        <w:jc w:val="both"/>
        <w:rPr>
          <w:rFonts w:ascii="Times New Roman" w:hAnsi="Times New Roman"/>
        </w:rPr>
      </w:pPr>
      <w:r>
        <w:rPr>
          <w:rFonts w:ascii="Times New Roman" w:hAnsi="Times New Roman"/>
          <w:color w:val="1F1F1F"/>
        </w:rPr>
        <w:t>AI 技术方案书是评委理解你们项目计算/AI 部分的主要依据。请围绕以下七个维度展开，每一项均须填写，未涉及的部分应说明"不适用"及原因：</w:t>
      </w:r>
    </w:p>
    <w:p w14:paraId="3F19FB35">
      <w:pPr>
        <w:pStyle w:val="4"/>
        <w:rPr>
          <w:rFonts w:ascii="Times New Roman" w:hAnsi="Times New Roman"/>
        </w:rPr>
      </w:pPr>
      <w:r>
        <w:rPr>
          <w:rFonts w:ascii="Times New Roman" w:hAnsi="Times New Roman"/>
        </w:rPr>
        <w:t>① 项目目标与科学问题</w:t>
      </w:r>
    </w:p>
    <w:p w14:paraId="62C6E590">
      <w:pPr>
        <w:pStyle w:val="20"/>
        <w:numPr>
          <w:ilvl w:val="0"/>
          <w:numId w:val="1"/>
        </w:numPr>
        <w:spacing w:before="60" w:after="60" w:line="360" w:lineRule="auto"/>
        <w:rPr>
          <w:rFonts w:ascii="Times New Roman" w:hAnsi="Times New Roman"/>
        </w:rPr>
      </w:pPr>
      <w:r>
        <w:rPr>
          <w:rFonts w:ascii="Times New Roman" w:hAnsi="Times New Roman"/>
          <w:color w:val="1F1F1F"/>
        </w:rPr>
        <w:t>你们要解决的具体科学问题是什么？为什么这个问题值得做？</w:t>
      </w:r>
    </w:p>
    <w:p w14:paraId="03619FD4">
      <w:pPr>
        <w:pStyle w:val="20"/>
        <w:numPr>
          <w:ilvl w:val="0"/>
          <w:numId w:val="1"/>
        </w:numPr>
        <w:spacing w:before="60" w:after="60" w:line="360" w:lineRule="auto"/>
        <w:rPr>
          <w:rFonts w:ascii="Times New Roman" w:hAnsi="Times New Roman"/>
        </w:rPr>
      </w:pPr>
      <w:r>
        <w:rPr>
          <w:rFonts w:ascii="Times New Roman" w:hAnsi="Times New Roman"/>
          <w:color w:val="1F1F1F"/>
        </w:rPr>
        <w:t>AI / 计算工作在整个项目中扮演什么角色（例如：理性设计、虚拟筛选、数据驱动假设生成、闭环优化等）？</w:t>
      </w:r>
    </w:p>
    <w:p w14:paraId="533D4BAD">
      <w:pPr>
        <w:pStyle w:val="4"/>
        <w:rPr>
          <w:rFonts w:ascii="Times New Roman" w:hAnsi="Times New Roman"/>
        </w:rPr>
      </w:pPr>
      <w:r>
        <w:rPr>
          <w:rFonts w:ascii="Times New Roman" w:hAnsi="Times New Roman"/>
        </w:rPr>
        <w:t>② 模型架构</w:t>
      </w:r>
    </w:p>
    <w:p w14:paraId="718D0682">
      <w:pPr>
        <w:pStyle w:val="20"/>
        <w:numPr>
          <w:ilvl w:val="0"/>
          <w:numId w:val="1"/>
        </w:numPr>
        <w:spacing w:before="60" w:after="60" w:line="360" w:lineRule="auto"/>
        <w:rPr>
          <w:rFonts w:ascii="Times New Roman" w:hAnsi="Times New Roman"/>
        </w:rPr>
      </w:pPr>
      <w:r>
        <w:rPr>
          <w:rFonts w:ascii="Times New Roman" w:hAnsi="Times New Roman"/>
          <w:color w:val="1F1F1F"/>
        </w:rPr>
        <w:t>使用的核心模型类型（CNN / Transformer / GNN / 扩散模型 / LLM 等）；</w:t>
      </w:r>
    </w:p>
    <w:p w14:paraId="4A3FA130">
      <w:pPr>
        <w:pStyle w:val="20"/>
        <w:numPr>
          <w:ilvl w:val="0"/>
          <w:numId w:val="1"/>
        </w:numPr>
        <w:spacing w:before="60" w:after="60" w:line="360" w:lineRule="auto"/>
        <w:rPr>
          <w:rFonts w:ascii="Times New Roman" w:hAnsi="Times New Roman"/>
        </w:rPr>
      </w:pPr>
      <w:r>
        <w:rPr>
          <w:rFonts w:ascii="Times New Roman" w:hAnsi="Times New Roman"/>
          <w:color w:val="1F1F1F"/>
        </w:rPr>
        <w:t>如果是基于已有预训练模型（ESM、AlphaFold、RFdiffusion、ProteinMPNN 等），明确说明所基于的版本，以及本团队的微调或修改部分；</w:t>
      </w:r>
    </w:p>
    <w:p w14:paraId="061780F0">
      <w:pPr>
        <w:pStyle w:val="20"/>
        <w:numPr>
          <w:ilvl w:val="0"/>
          <w:numId w:val="1"/>
        </w:numPr>
        <w:spacing w:before="60" w:after="60" w:line="360" w:lineRule="auto"/>
        <w:rPr>
          <w:rFonts w:ascii="Times New Roman" w:hAnsi="Times New Roman"/>
        </w:rPr>
      </w:pPr>
      <w:r>
        <w:rPr>
          <w:rFonts w:ascii="Times New Roman" w:hAnsi="Times New Roman"/>
          <w:color w:val="1F1F1F"/>
        </w:rPr>
        <w:t>关键超参数与计算资源需求（GPU / CPU、预计训练时长、显存需求等）。</w:t>
      </w:r>
    </w:p>
    <w:p w14:paraId="4EBA2A23">
      <w:pPr>
        <w:pStyle w:val="4"/>
        <w:rPr>
          <w:rFonts w:ascii="Times New Roman" w:hAnsi="Times New Roman"/>
        </w:rPr>
      </w:pPr>
      <w:r>
        <w:rPr>
          <w:rFonts w:ascii="Times New Roman" w:hAnsi="Times New Roman"/>
        </w:rPr>
        <w:t>③ 数据来源与处理</w:t>
      </w:r>
    </w:p>
    <w:p w14:paraId="56EF6E55">
      <w:pPr>
        <w:pStyle w:val="20"/>
        <w:numPr>
          <w:ilvl w:val="0"/>
          <w:numId w:val="1"/>
        </w:numPr>
        <w:spacing w:before="60" w:after="60" w:line="360" w:lineRule="auto"/>
        <w:rPr>
          <w:rFonts w:ascii="Times New Roman" w:hAnsi="Times New Roman"/>
        </w:rPr>
      </w:pPr>
      <w:r>
        <w:rPr>
          <w:rFonts w:ascii="Times New Roman" w:hAnsi="Times New Roman"/>
          <w:color w:val="1F1F1F"/>
        </w:rPr>
        <w:t>训练 / 验证 / 测试数据的来源（公共数据库、文献、自产实验数据、合作方数据等）；</w:t>
      </w:r>
    </w:p>
    <w:p w14:paraId="3A68A91E">
      <w:pPr>
        <w:pStyle w:val="20"/>
        <w:numPr>
          <w:ilvl w:val="0"/>
          <w:numId w:val="1"/>
        </w:numPr>
        <w:spacing w:before="60" w:after="60" w:line="360" w:lineRule="auto"/>
        <w:rPr>
          <w:rFonts w:ascii="Times New Roman" w:hAnsi="Times New Roman"/>
        </w:rPr>
      </w:pPr>
      <w:r>
        <w:rPr>
          <w:rFonts w:ascii="Times New Roman" w:hAnsi="Times New Roman"/>
          <w:color w:val="1F1F1F"/>
        </w:rPr>
        <w:t>数据规模、数据质量评估、是否存在类别不平衡等问题；</w:t>
      </w:r>
    </w:p>
    <w:p w14:paraId="5C2CAF80">
      <w:pPr>
        <w:pStyle w:val="20"/>
        <w:numPr>
          <w:ilvl w:val="0"/>
          <w:numId w:val="1"/>
        </w:numPr>
        <w:spacing w:before="60" w:after="60" w:line="360" w:lineRule="auto"/>
        <w:rPr>
          <w:rFonts w:ascii="Times New Roman" w:hAnsi="Times New Roman"/>
        </w:rPr>
      </w:pPr>
      <w:r>
        <w:rPr>
          <w:rFonts w:ascii="Times New Roman" w:hAnsi="Times New Roman"/>
          <w:b/>
          <w:bCs/>
          <w:color w:val="1F1F1F"/>
        </w:rPr>
        <w:t>数据使用授权情况：</w:t>
      </w:r>
      <w:r>
        <w:rPr>
          <w:rFonts w:ascii="Times New Roman" w:hAnsi="Times New Roman"/>
          <w:color w:val="1F1F1F"/>
        </w:rPr>
        <w:t>若使用受限数据集（医疗 / 基因组 / 受版权保护数据），须说明已获得的授权依据；若使用人类相关数据，须说明伦理审查情况；</w:t>
      </w:r>
    </w:p>
    <w:p w14:paraId="3955A5E8">
      <w:pPr>
        <w:pStyle w:val="20"/>
        <w:numPr>
          <w:ilvl w:val="0"/>
          <w:numId w:val="1"/>
        </w:numPr>
        <w:spacing w:before="60" w:after="60" w:line="360" w:lineRule="auto"/>
        <w:rPr>
          <w:rFonts w:ascii="Times New Roman" w:hAnsi="Times New Roman"/>
        </w:rPr>
      </w:pPr>
      <w:r>
        <w:rPr>
          <w:rFonts w:ascii="Times New Roman" w:hAnsi="Times New Roman"/>
          <w:color w:val="1F1F1F"/>
        </w:rPr>
        <w:t>数据预处理流程与版本控制方案。</w:t>
      </w:r>
    </w:p>
    <w:p w14:paraId="25CA780B">
      <w:pPr>
        <w:pStyle w:val="4"/>
        <w:rPr>
          <w:rFonts w:ascii="Times New Roman" w:hAnsi="Times New Roman"/>
        </w:rPr>
      </w:pPr>
      <w:r>
        <w:rPr>
          <w:rFonts w:ascii="Times New Roman" w:hAnsi="Times New Roman"/>
        </w:rPr>
        <w:t>④ 训练与验证策略</w:t>
      </w:r>
    </w:p>
    <w:p w14:paraId="636C11C4">
      <w:pPr>
        <w:pStyle w:val="20"/>
        <w:numPr>
          <w:ilvl w:val="0"/>
          <w:numId w:val="1"/>
        </w:numPr>
        <w:spacing w:before="60" w:after="60" w:line="360" w:lineRule="auto"/>
        <w:rPr>
          <w:rFonts w:ascii="Times New Roman" w:hAnsi="Times New Roman"/>
        </w:rPr>
      </w:pPr>
      <w:r>
        <w:rPr>
          <w:rFonts w:ascii="Times New Roman" w:hAnsi="Times New Roman"/>
          <w:color w:val="1F1F1F"/>
        </w:rPr>
        <w:t>训练 / 验证 / 测试集划分方式（随机 / 时间 / 同源性聚类等）；</w:t>
      </w:r>
    </w:p>
    <w:p w14:paraId="43F268E4">
      <w:pPr>
        <w:pStyle w:val="20"/>
        <w:numPr>
          <w:ilvl w:val="0"/>
          <w:numId w:val="1"/>
        </w:numPr>
        <w:spacing w:before="60" w:after="60" w:line="360" w:lineRule="auto"/>
        <w:rPr>
          <w:rFonts w:ascii="Times New Roman" w:hAnsi="Times New Roman"/>
        </w:rPr>
      </w:pPr>
      <w:r>
        <w:rPr>
          <w:rFonts w:ascii="Times New Roman" w:hAnsi="Times New Roman"/>
          <w:color w:val="1F1F1F"/>
        </w:rPr>
        <w:t>损失函数与优化器；</w:t>
      </w:r>
    </w:p>
    <w:p w14:paraId="45AEC0C1">
      <w:pPr>
        <w:pStyle w:val="20"/>
        <w:numPr>
          <w:ilvl w:val="0"/>
          <w:numId w:val="1"/>
        </w:numPr>
        <w:spacing w:before="60" w:after="60" w:line="360" w:lineRule="auto"/>
        <w:rPr>
          <w:rFonts w:ascii="Times New Roman" w:hAnsi="Times New Roman"/>
        </w:rPr>
      </w:pPr>
      <w:r>
        <w:rPr>
          <w:rFonts w:ascii="Times New Roman" w:hAnsi="Times New Roman"/>
          <w:color w:val="1F1F1F"/>
        </w:rPr>
        <w:t>交叉验证或独立测试集设计；</w:t>
      </w:r>
    </w:p>
    <w:p w14:paraId="5C25825B">
      <w:pPr>
        <w:pStyle w:val="20"/>
        <w:numPr>
          <w:ilvl w:val="0"/>
          <w:numId w:val="1"/>
        </w:numPr>
        <w:spacing w:before="60" w:after="60" w:line="360" w:lineRule="auto"/>
        <w:rPr>
          <w:rFonts w:ascii="Times New Roman" w:hAnsi="Times New Roman"/>
        </w:rPr>
      </w:pPr>
      <w:r>
        <w:rPr>
          <w:rFonts w:ascii="Times New Roman" w:hAnsi="Times New Roman"/>
          <w:color w:val="1F1F1F"/>
        </w:rPr>
        <w:t>随机种子设置与计算可复现性保障措施。</w:t>
      </w:r>
    </w:p>
    <w:p w14:paraId="2606B986">
      <w:pPr>
        <w:pStyle w:val="4"/>
        <w:rPr>
          <w:rFonts w:ascii="Times New Roman" w:hAnsi="Times New Roman"/>
        </w:rPr>
      </w:pPr>
      <w:r>
        <w:rPr>
          <w:rFonts w:ascii="Times New Roman" w:hAnsi="Times New Roman"/>
        </w:rPr>
        <w:t>⑤ 评估指标与基线对比</w:t>
      </w:r>
    </w:p>
    <w:p w14:paraId="6B0802B3">
      <w:pPr>
        <w:pStyle w:val="20"/>
        <w:numPr>
          <w:ilvl w:val="0"/>
          <w:numId w:val="1"/>
        </w:numPr>
        <w:spacing w:before="60" w:after="60" w:line="360" w:lineRule="auto"/>
        <w:rPr>
          <w:rFonts w:ascii="Times New Roman" w:hAnsi="Times New Roman"/>
        </w:rPr>
      </w:pPr>
      <w:r>
        <w:rPr>
          <w:rFonts w:ascii="Times New Roman" w:hAnsi="Times New Roman"/>
          <w:color w:val="1F1F1F"/>
        </w:rPr>
        <w:t>关键评估指标（与项目目标紧密对应的，而非堆砌指标）；</w:t>
      </w:r>
    </w:p>
    <w:p w14:paraId="2D5C6FA2">
      <w:pPr>
        <w:spacing w:before="20" w:after="20"/>
        <w:rPr>
          <w:rFonts w:ascii="Times New Roman" w:hAnsi="Times New Roman"/>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23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9E2F3" w:sz="4" w:space="0"/>
              <w:left w:val="single" w:color="C55A11" w:sz="24" w:space="0"/>
              <w:bottom w:val="single" w:color="D9E2F3" w:sz="4" w:space="0"/>
              <w:right w:val="single" w:color="D9E2F3" w:sz="4" w:space="0"/>
            </w:tcBorders>
            <w:shd w:val="clear" w:color="auto" w:fill="FBE9DD"/>
            <w:tcMar>
              <w:top w:w="180" w:type="dxa"/>
              <w:left w:w="320" w:type="dxa"/>
              <w:bottom w:w="180" w:type="dxa"/>
              <w:right w:w="280" w:type="dxa"/>
            </w:tcMar>
          </w:tcPr>
          <w:p w14:paraId="4E337530">
            <w:pPr>
              <w:spacing w:before="40" w:after="40" w:line="360" w:lineRule="auto"/>
              <w:rPr>
                <w:rFonts w:ascii="Times New Roman" w:hAnsi="Times New Roman"/>
              </w:rPr>
            </w:pPr>
            <w:r>
              <w:rPr>
                <w:rFonts w:ascii="Times New Roman" w:hAnsi="Times New Roman"/>
                <w:b/>
                <w:bCs/>
                <w:color w:val="C55A11"/>
              </w:rPr>
              <w:t>基线时效性要求（重要）：</w:t>
            </w:r>
            <w:r>
              <w:rPr>
                <w:rFonts w:ascii="Times New Roman" w:hAnsi="Times New Roman"/>
                <w:color w:val="1F1F1F"/>
              </w:rPr>
              <w:t>基线对比须使用近三年（</w:t>
            </w:r>
            <w:r>
              <w:rPr>
                <w:rFonts w:ascii="Times New Roman" w:hAnsi="Times New Roman"/>
                <w:b/>
                <w:bCs/>
                <w:color w:val="C55A11"/>
              </w:rPr>
              <w:t>2023 年及以后</w:t>
            </w:r>
            <w:r>
              <w:rPr>
                <w:rFonts w:ascii="Times New Roman" w:hAnsi="Times New Roman"/>
                <w:color w:val="1F1F1F"/>
              </w:rPr>
              <w:t>）发表或发布的主流基线，或在评审当时仍被领域公认为 SOTA / 代表性方法的模型。仅与已明显落后的过时基线进行比较将影响评审结论。如因任务限制确需使用较老基线，须在本节单独说明理由并附近期相关工作综述。</w:t>
            </w:r>
          </w:p>
        </w:tc>
      </w:tr>
    </w:tbl>
    <w:p w14:paraId="1C3355AA">
      <w:pPr>
        <w:pStyle w:val="20"/>
        <w:numPr>
          <w:ilvl w:val="0"/>
          <w:numId w:val="1"/>
        </w:numPr>
        <w:spacing w:before="60" w:after="60" w:line="360" w:lineRule="auto"/>
        <w:rPr>
          <w:rFonts w:ascii="Times New Roman" w:hAnsi="Times New Roman"/>
        </w:rPr>
      </w:pPr>
      <w:r>
        <w:rPr>
          <w:rFonts w:ascii="Times New Roman" w:hAnsi="Times New Roman"/>
          <w:color w:val="1F1F1F"/>
        </w:rPr>
        <w:t>基线模型清单（至少 2 个）：模型名称、版本、来源链接、年份；</w:t>
      </w:r>
    </w:p>
    <w:p w14:paraId="786A0A1C">
      <w:pPr>
        <w:pStyle w:val="20"/>
        <w:numPr>
          <w:ilvl w:val="0"/>
          <w:numId w:val="1"/>
        </w:numPr>
        <w:spacing w:before="60" w:after="60" w:line="360" w:lineRule="auto"/>
        <w:rPr>
          <w:rFonts w:ascii="Times New Roman" w:hAnsi="Times New Roman"/>
        </w:rPr>
      </w:pPr>
      <w:r>
        <w:rPr>
          <w:rFonts w:ascii="Times New Roman" w:hAnsi="Times New Roman"/>
          <w:color w:val="1F1F1F"/>
        </w:rPr>
        <w:t>不确定性量化与置信区间报告策略；</w:t>
      </w:r>
    </w:p>
    <w:p w14:paraId="1712CC96">
      <w:pPr>
        <w:pStyle w:val="20"/>
        <w:numPr>
          <w:ilvl w:val="0"/>
          <w:numId w:val="1"/>
        </w:numPr>
        <w:spacing w:before="60" w:after="60" w:line="360" w:lineRule="auto"/>
        <w:rPr>
          <w:rFonts w:ascii="Times New Roman" w:hAnsi="Times New Roman"/>
        </w:rPr>
      </w:pPr>
      <w:r>
        <w:rPr>
          <w:rFonts w:ascii="Times New Roman" w:hAnsi="Times New Roman"/>
          <w:color w:val="1F1F1F"/>
        </w:rPr>
        <w:t>阴性结果与失败案例的呈现方式。</w:t>
      </w:r>
    </w:p>
    <w:p w14:paraId="473F4612">
      <w:pPr>
        <w:pStyle w:val="4"/>
        <w:rPr>
          <w:rFonts w:ascii="Times New Roman" w:hAnsi="Times New Roman"/>
        </w:rPr>
      </w:pPr>
      <w:r>
        <w:rPr>
          <w:rFonts w:ascii="Times New Roman" w:hAnsi="Times New Roman"/>
        </w:rPr>
        <w:t>⑥ 可验证性保障</w:t>
      </w:r>
    </w:p>
    <w:p w14:paraId="6170077D">
      <w:pPr>
        <w:pStyle w:val="20"/>
        <w:numPr>
          <w:ilvl w:val="0"/>
          <w:numId w:val="1"/>
        </w:numPr>
        <w:spacing w:before="60" w:after="60" w:line="360" w:lineRule="auto"/>
        <w:rPr>
          <w:rFonts w:ascii="Times New Roman" w:hAnsi="Times New Roman"/>
        </w:rPr>
      </w:pPr>
      <w:r>
        <w:rPr>
          <w:rFonts w:ascii="Times New Roman" w:hAnsi="Times New Roman"/>
          <w:color w:val="1F1F1F"/>
        </w:rPr>
        <w:t>代码托管位置（大赛官方 GitLab 仓库链接）；</w:t>
      </w:r>
    </w:p>
    <w:p w14:paraId="21DC3648">
      <w:pPr>
        <w:pStyle w:val="20"/>
        <w:numPr>
          <w:ilvl w:val="0"/>
          <w:numId w:val="1"/>
        </w:numPr>
        <w:spacing w:before="60" w:after="60" w:line="360" w:lineRule="auto"/>
        <w:rPr>
          <w:rFonts w:ascii="Times New Roman" w:hAnsi="Times New Roman"/>
        </w:rPr>
      </w:pPr>
      <w:r>
        <w:rPr>
          <w:rFonts w:ascii="Times New Roman" w:hAnsi="Times New Roman"/>
          <w:color w:val="1F1F1F"/>
        </w:rPr>
        <w:t>README 与环境配置（requirements.txt / Dockerfile）的当前完成度；</w:t>
      </w:r>
    </w:p>
    <w:p w14:paraId="181B22E7">
      <w:pPr>
        <w:pStyle w:val="20"/>
        <w:numPr>
          <w:ilvl w:val="0"/>
          <w:numId w:val="1"/>
        </w:numPr>
        <w:spacing w:before="60" w:after="60" w:line="360" w:lineRule="auto"/>
        <w:rPr>
          <w:rFonts w:ascii="Times New Roman" w:hAnsi="Times New Roman"/>
        </w:rPr>
      </w:pPr>
      <w:r>
        <w:rPr>
          <w:rFonts w:ascii="Times New Roman" w:hAnsi="Times New Roman"/>
          <w:color w:val="1F1F1F"/>
        </w:rPr>
        <w:t>一键复现脚本是否已就绪；</w:t>
      </w:r>
    </w:p>
    <w:p w14:paraId="6416BAFA">
      <w:pPr>
        <w:pStyle w:val="20"/>
        <w:numPr>
          <w:ilvl w:val="0"/>
          <w:numId w:val="1"/>
        </w:numPr>
        <w:spacing w:before="60" w:after="60" w:line="360" w:lineRule="auto"/>
        <w:rPr>
          <w:rFonts w:ascii="Times New Roman" w:hAnsi="Times New Roman"/>
        </w:rPr>
      </w:pPr>
      <w:r>
        <w:rPr>
          <w:rFonts w:ascii="Times New Roman" w:hAnsi="Times New Roman"/>
          <w:color w:val="1F1F1F"/>
        </w:rPr>
        <w:t>数据指纹（如 SHA-256）与版本管理策略。</w:t>
      </w:r>
    </w:p>
    <w:p w14:paraId="570FF876">
      <w:pPr>
        <w:pStyle w:val="4"/>
        <w:rPr>
          <w:rFonts w:ascii="Times New Roman" w:hAnsi="Times New Roman"/>
        </w:rPr>
      </w:pPr>
      <w:r>
        <w:rPr>
          <w:rFonts w:ascii="Times New Roman" w:hAnsi="Times New Roman"/>
        </w:rPr>
        <w:t>⑦ 风险评估与负责任 AI</w:t>
      </w:r>
    </w:p>
    <w:p w14:paraId="1ABBB96F">
      <w:pPr>
        <w:pStyle w:val="20"/>
        <w:numPr>
          <w:ilvl w:val="0"/>
          <w:numId w:val="1"/>
        </w:numPr>
        <w:spacing w:before="60" w:after="60" w:line="360" w:lineRule="auto"/>
        <w:rPr>
          <w:rFonts w:ascii="Times New Roman" w:hAnsi="Times New Roman"/>
        </w:rPr>
      </w:pPr>
      <w:r>
        <w:rPr>
          <w:rFonts w:ascii="Times New Roman" w:hAnsi="Times New Roman"/>
          <w:color w:val="1F1F1F"/>
        </w:rPr>
        <w:t>模型可能失败模式与影响（如蛋白质设计脱靶风险、生成式模型的双重用途风险等）；</w:t>
      </w:r>
    </w:p>
    <w:p w14:paraId="2EC5A6C0">
      <w:pPr>
        <w:pStyle w:val="20"/>
        <w:numPr>
          <w:ilvl w:val="0"/>
          <w:numId w:val="1"/>
        </w:numPr>
        <w:spacing w:before="60" w:after="60" w:line="360" w:lineRule="auto"/>
        <w:rPr>
          <w:rFonts w:ascii="Times New Roman" w:hAnsi="Times New Roman"/>
        </w:rPr>
      </w:pPr>
      <w:r>
        <w:rPr>
          <w:rFonts w:ascii="Times New Roman" w:hAnsi="Times New Roman"/>
          <w:color w:val="1F1F1F"/>
        </w:rPr>
        <w:t>所采取的防护措施（黑名单序列过滤、有害模式识别、人工审核环节等）；</w:t>
      </w:r>
    </w:p>
    <w:p w14:paraId="6F9ADBE7">
      <w:pPr>
        <w:pStyle w:val="20"/>
        <w:numPr>
          <w:ilvl w:val="0"/>
          <w:numId w:val="1"/>
        </w:numPr>
        <w:spacing w:before="60" w:after="60" w:line="360" w:lineRule="auto"/>
        <w:rPr>
          <w:rFonts w:ascii="Times New Roman" w:hAnsi="Times New Roman"/>
        </w:rPr>
      </w:pPr>
      <w:r>
        <w:rPr>
          <w:rFonts w:ascii="Times New Roman" w:hAnsi="Times New Roman"/>
          <w:color w:val="1F1F1F"/>
        </w:rPr>
        <w:t>可解释性分析方案（特征重要性 / 注意力可视化 / 反事实分析等）；</w:t>
      </w:r>
    </w:p>
    <w:p w14:paraId="65A0F53C">
      <w:pPr>
        <w:pStyle w:val="20"/>
        <w:numPr>
          <w:ilvl w:val="0"/>
          <w:numId w:val="1"/>
        </w:numPr>
        <w:spacing w:before="60" w:after="60" w:line="360" w:lineRule="auto"/>
        <w:rPr>
          <w:rFonts w:ascii="Times New Roman" w:hAnsi="Times New Roman"/>
        </w:rPr>
      </w:pPr>
      <w:r>
        <w:rPr>
          <w:rFonts w:ascii="Times New Roman" w:hAnsi="Times New Roman"/>
          <w:color w:val="1F1F1F"/>
        </w:rPr>
        <w:t>若涉及生物序列生成，须附独立的安全评估说明。</w:t>
      </w:r>
    </w:p>
    <w:p w14:paraId="6AECE7B2">
      <w:pPr>
        <w:pStyle w:val="3"/>
        <w:rPr>
          <w:rFonts w:ascii="Times New Roman" w:hAnsi="Times New Roman"/>
        </w:rPr>
      </w:pPr>
      <w:r>
        <w:rPr>
          <w:rFonts w:ascii="Times New Roman" w:hAnsi="Times New Roman"/>
        </w:rPr>
        <w:t>2.2　AI 技术方案书填写模板</w:t>
      </w:r>
    </w:p>
    <w:p w14:paraId="1D817CE5">
      <w:pPr>
        <w:spacing w:before="100" w:after="100" w:line="380" w:lineRule="auto"/>
        <w:jc w:val="both"/>
        <w:rPr>
          <w:rFonts w:ascii="Times New Roman" w:hAnsi="Times New Roman"/>
        </w:rPr>
      </w:pPr>
      <w:r>
        <w:rPr>
          <w:rFonts w:ascii="Times New Roman" w:hAnsi="Times New Roman"/>
          <w:color w:val="1F1F1F"/>
        </w:rPr>
        <w:t>请直接在以下模板中填写。每一栏目均须有内容，"不适用"也请明确写出并说明原因。建议总篇幅控制在 8–15 页（含图表）。</w:t>
      </w:r>
    </w:p>
    <w:p w14:paraId="0BA11FF5">
      <w:pPr>
        <w:spacing w:before="40" w:after="40"/>
        <w:rPr>
          <w:rFonts w:ascii="Times New Roman" w:hAnsi="Times New Roman"/>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719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3F53A769">
            <w:pPr>
              <w:jc w:val="center"/>
              <w:rPr>
                <w:rFonts w:ascii="Times New Roman" w:hAnsi="Times New Roman"/>
              </w:rPr>
            </w:pPr>
            <w:r>
              <w:rPr>
                <w:rFonts w:ascii="Times New Roman" w:hAnsi="Times New Roman"/>
                <w:b/>
                <w:bCs/>
                <w:color w:val="FFFFFF"/>
              </w:rPr>
              <w:t>字段</w:t>
            </w:r>
          </w:p>
        </w:tc>
        <w:tc>
          <w:tcPr>
            <w:tcW w:w="636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074A43D6">
            <w:pPr>
              <w:jc w:val="center"/>
              <w:rPr>
                <w:rFonts w:ascii="Times New Roman" w:hAnsi="Times New Roman"/>
              </w:rPr>
            </w:pPr>
            <w:r>
              <w:rPr>
                <w:rFonts w:ascii="Times New Roman" w:hAnsi="Times New Roman"/>
                <w:b/>
                <w:bCs/>
                <w:color w:val="FFFFFF"/>
              </w:rPr>
              <w:t>内容</w:t>
            </w:r>
          </w:p>
        </w:tc>
      </w:tr>
      <w:tr w14:paraId="2D78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27935695">
            <w:pPr>
              <w:spacing w:line="320" w:lineRule="auto"/>
              <w:rPr>
                <w:rFonts w:ascii="Times New Roman" w:hAnsi="Times New Roman"/>
              </w:rPr>
            </w:pPr>
            <w:r>
              <w:rPr>
                <w:rFonts w:ascii="Times New Roman" w:hAnsi="Times New Roman"/>
                <w:color w:val="1F1F1F"/>
              </w:rPr>
              <w:t>参赛队伍名称</w:t>
            </w:r>
          </w:p>
        </w:tc>
        <w:tc>
          <w:tcPr>
            <w:tcW w:w="6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A6D483A">
            <w:pPr>
              <w:spacing w:line="320" w:lineRule="auto"/>
              <w:rPr>
                <w:rFonts w:hint="default" w:ascii="Times New Roman" w:hAnsi="Times New Roman" w:eastAsia="宋体"/>
                <w:lang w:val="en-US" w:eastAsia="zh-CN"/>
              </w:rPr>
            </w:pPr>
            <w:r>
              <w:rPr>
                <w:rFonts w:ascii="Times New Roman" w:hAnsi="Times New Roman"/>
                <w:color w:val="1F1F1F"/>
              </w:rPr>
              <w:t xml:space="preserve"> </w:t>
            </w:r>
            <w:r>
              <w:rPr>
                <w:rFonts w:hint="eastAsia"/>
                <w:color w:val="1F1F1F"/>
                <w:lang w:val="en-US" w:eastAsia="zh-CN"/>
              </w:rPr>
              <w:t>BIT-CHINA</w:t>
            </w:r>
          </w:p>
        </w:tc>
      </w:tr>
      <w:tr w14:paraId="5B68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0B491CC0">
            <w:pPr>
              <w:spacing w:line="320" w:lineRule="auto"/>
              <w:rPr>
                <w:rFonts w:ascii="Times New Roman" w:hAnsi="Times New Roman"/>
              </w:rPr>
            </w:pPr>
            <w:r>
              <w:rPr>
                <w:rFonts w:ascii="Times New Roman" w:hAnsi="Times New Roman"/>
                <w:color w:val="1F1F1F"/>
              </w:rPr>
              <w:t>参赛题目</w:t>
            </w:r>
          </w:p>
        </w:tc>
        <w:tc>
          <w:tcPr>
            <w:tcW w:w="63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0EE0A6BA">
            <w:pPr>
              <w:spacing w:line="320" w:lineRule="auto"/>
              <w:rPr>
                <w:rFonts w:hint="default" w:ascii="Times New Roman" w:hAnsi="Times New Roman" w:eastAsia="宋体"/>
                <w:lang w:val="en-US" w:eastAsia="zh-CN"/>
              </w:rPr>
            </w:pPr>
            <w:r>
              <w:rPr>
                <w:rFonts w:ascii="Times New Roman" w:hAnsi="Times New Roman"/>
                <w:color w:val="1F1F1F"/>
              </w:rPr>
              <w:t xml:space="preserve"> </w:t>
            </w:r>
            <w:r>
              <w:rPr>
                <w:rFonts w:hint="eastAsia"/>
                <w:color w:val="1F1F1F"/>
                <w:lang w:val="en-US" w:eastAsia="zh-CN"/>
              </w:rPr>
              <w:t>光绘酵染</w:t>
            </w:r>
          </w:p>
        </w:tc>
      </w:tr>
      <w:tr w14:paraId="61065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63F85F39">
            <w:pPr>
              <w:spacing w:line="320" w:lineRule="auto"/>
              <w:rPr>
                <w:rFonts w:ascii="Times New Roman" w:hAnsi="Times New Roman"/>
              </w:rPr>
            </w:pPr>
            <w:r>
              <w:rPr>
                <w:rFonts w:ascii="Times New Roman" w:hAnsi="Times New Roman"/>
                <w:color w:val="1F1F1F"/>
              </w:rPr>
              <w:t>所选赛道</w:t>
            </w:r>
          </w:p>
        </w:tc>
        <w:tc>
          <w:tcPr>
            <w:tcW w:w="6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4A6A09CA">
            <w:pPr>
              <w:spacing w:line="320" w:lineRule="auto"/>
              <w:rPr>
                <w:rFonts w:hint="default" w:ascii="Times New Roman" w:hAnsi="Times New Roman" w:eastAsia="宋体"/>
                <w:lang w:val="en-US" w:eastAsia="zh-CN"/>
              </w:rPr>
            </w:pPr>
            <w:r>
              <w:rPr>
                <w:rFonts w:ascii="Times New Roman" w:hAnsi="Times New Roman"/>
                <w:color w:val="1F1F1F"/>
              </w:rPr>
              <w:t xml:space="preserve"> </w:t>
            </w:r>
            <w:r>
              <w:rPr>
                <w:rFonts w:hint="eastAsia"/>
                <w:color w:val="1F1F1F"/>
                <w:lang w:val="en-US" w:eastAsia="zh-CN"/>
              </w:rPr>
              <w:t>工业生物制造</w:t>
            </w:r>
          </w:p>
        </w:tc>
      </w:tr>
      <w:tr w14:paraId="2994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4C14BDD4">
            <w:pPr>
              <w:spacing w:line="320" w:lineRule="auto"/>
              <w:rPr>
                <w:rFonts w:ascii="Times New Roman" w:hAnsi="Times New Roman"/>
              </w:rPr>
            </w:pPr>
            <w:r>
              <w:rPr>
                <w:rFonts w:ascii="Times New Roman" w:hAnsi="Times New Roman"/>
                <w:color w:val="1F1F1F"/>
              </w:rPr>
              <w:t>Primary PI</w:t>
            </w:r>
          </w:p>
        </w:tc>
        <w:tc>
          <w:tcPr>
            <w:tcW w:w="63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52C34DFF">
            <w:pPr>
              <w:spacing w:line="320" w:lineRule="auto"/>
              <w:rPr>
                <w:rFonts w:hint="eastAsia" w:ascii="Times New Roman" w:hAnsi="Times New Roman" w:eastAsia="宋体"/>
                <w:lang w:val="en-US" w:eastAsia="zh-CN"/>
              </w:rPr>
            </w:pPr>
            <w:r>
              <w:rPr>
                <w:rFonts w:ascii="Times New Roman" w:hAnsi="Times New Roman"/>
                <w:color w:val="1F1F1F"/>
              </w:rPr>
              <w:t xml:space="preserve"> </w:t>
            </w:r>
            <w:r>
              <w:rPr>
                <w:rFonts w:hint="eastAsia"/>
                <w:color w:val="1F1F1F"/>
                <w:lang w:val="en-US" w:eastAsia="zh-CN"/>
              </w:rPr>
              <w:t>胡冰</w:t>
            </w:r>
          </w:p>
        </w:tc>
      </w:tr>
      <w:tr w14:paraId="5410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332791DC">
            <w:pPr>
              <w:spacing w:line="320" w:lineRule="auto"/>
              <w:rPr>
                <w:rFonts w:ascii="Times New Roman" w:hAnsi="Times New Roman"/>
              </w:rPr>
            </w:pPr>
            <w:r>
              <w:rPr>
                <w:rFonts w:ascii="Times New Roman" w:hAnsi="Times New Roman"/>
                <w:color w:val="1F1F1F"/>
              </w:rPr>
              <w:t>方案版本号</w:t>
            </w:r>
          </w:p>
        </w:tc>
        <w:tc>
          <w:tcPr>
            <w:tcW w:w="6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0136B82">
            <w:pPr>
              <w:spacing w:line="320" w:lineRule="auto"/>
              <w:rPr>
                <w:rFonts w:ascii="Times New Roman" w:hAnsi="Times New Roman"/>
              </w:rPr>
            </w:pPr>
            <w:r>
              <w:rPr>
                <w:rFonts w:ascii="Times New Roman" w:hAnsi="Times New Roman"/>
                <w:color w:val="1F1F1F"/>
              </w:rPr>
              <w:t>v1.0</w:t>
            </w:r>
          </w:p>
        </w:tc>
      </w:tr>
      <w:tr w14:paraId="72A7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0785BD15">
            <w:pPr>
              <w:spacing w:line="320" w:lineRule="auto"/>
              <w:rPr>
                <w:rFonts w:ascii="Times New Roman" w:hAnsi="Times New Roman"/>
              </w:rPr>
            </w:pPr>
            <w:r>
              <w:rPr>
                <w:rFonts w:ascii="Times New Roman" w:hAnsi="Times New Roman"/>
                <w:color w:val="1F1F1F"/>
              </w:rPr>
              <w:t>提交日期</w:t>
            </w:r>
          </w:p>
        </w:tc>
        <w:tc>
          <w:tcPr>
            <w:tcW w:w="63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30B3894D">
            <w:pPr>
              <w:spacing w:line="320" w:lineRule="auto"/>
              <w:rPr>
                <w:rFonts w:hint="default" w:ascii="Times New Roman" w:hAnsi="Times New Roman" w:eastAsia="宋体"/>
                <w:lang w:val="en-US" w:eastAsia="zh-CN"/>
              </w:rPr>
            </w:pPr>
            <w:r>
              <w:rPr>
                <w:rFonts w:ascii="Times New Roman" w:hAnsi="Times New Roman"/>
                <w:color w:val="1F1F1F"/>
              </w:rPr>
              <w:t xml:space="preserve"> </w:t>
            </w:r>
            <w:r>
              <w:rPr>
                <w:rFonts w:hint="eastAsia"/>
                <w:color w:val="1F1F1F"/>
                <w:lang w:val="en-US" w:eastAsia="zh-CN"/>
              </w:rPr>
              <w:t>2026/5/25</w:t>
            </w:r>
          </w:p>
        </w:tc>
      </w:tr>
    </w:tbl>
    <w:p w14:paraId="0D605895">
      <w:pPr>
        <w:spacing w:before="40" w:after="40"/>
        <w:rPr>
          <w:rFonts w:ascii="Times New Roman" w:hAnsi="Times New Roman"/>
        </w:rPr>
      </w:pPr>
    </w:p>
    <w:p w14:paraId="4432F1AB">
      <w:pPr>
        <w:pStyle w:val="4"/>
        <w:rPr>
          <w:rFonts w:ascii="Times New Roman" w:hAnsi="Times New Roman"/>
        </w:rPr>
      </w:pPr>
      <w:r>
        <w:rPr>
          <w:rFonts w:ascii="Times New Roman" w:hAnsi="Times New Roman"/>
        </w:rPr>
        <w:t>① 项目目标与科学问题</w:t>
      </w:r>
    </w:p>
    <w:p w14:paraId="2510BCE9">
      <w:pPr>
        <w:spacing w:before="40" w:after="40"/>
        <w:rPr>
          <w:rFonts w:ascii="Times New Roman" w:hAnsi="Times New Roman"/>
        </w:rPr>
      </w:pPr>
    </w:p>
    <w:p w14:paraId="753471D2">
      <w:pPr>
        <w:spacing w:before="40" w:after="40"/>
        <w:rPr>
          <w:rFonts w:hint="eastAsia" w:ascii="Times New Roman" w:hAnsi="Times New Roman" w:eastAsia="宋体" w:cs="宋体"/>
          <w:sz w:val="24"/>
          <w:szCs w:val="24"/>
        </w:rPr>
      </w:pPr>
      <w:r>
        <w:rPr>
          <w:rFonts w:hint="eastAsia" w:ascii="Times New Roman" w:hAnsi="Times New Roman" w:eastAsia="宋体" w:cs="宋体"/>
          <w:sz w:val="24"/>
          <w:szCs w:val="24"/>
        </w:rPr>
        <w:t>(</w:t>
      </w: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rPr>
        <w:t>)拟解决的科学问题</w:t>
      </w:r>
    </w:p>
    <w:p w14:paraId="0D38A215">
      <w:pPr>
        <w:widowControl w:val="0"/>
        <w:numPr>
          <w:ilvl w:val="0"/>
          <w:numId w:val="0"/>
        </w:numPr>
        <w:spacing w:before="40" w:after="40"/>
        <w:rPr>
          <w:rFonts w:hint="eastAsia" w:ascii="Times New Roman" w:hAnsi="Times New Roman"/>
        </w:rPr>
      </w:pPr>
    </w:p>
    <w:p w14:paraId="25BA103F">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纺织印染是全球工业污染最严重的环节之一,占工业废水总量约 20%,染色环节贡献了全球水污染的 17%–20%。除染料本身的毒性外,传统媒染剂多含铝、锑、铬等重金属,具有显著的环境累积毒性与职业暴露风险,部分组分已被列为潜在致癌物。生物媒染剂被视为最具前景的替代方向,但目前尚无在多种纺织基材上同时具备高色牢度的成熟方案。</w:t>
      </w:r>
    </w:p>
    <w:p w14:paraId="0E2ED868">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团队的"光绘酵染"项目拟构建一套不依赖重金属、对多种纤维基材通用的生物媒染体系。前期预实验初步表明,家蚕类胡萝卜素结合蛋白(BmCBP)可作为染料与纤维之间的桥接分子,在丝绸基材上呈现一定的色牢度增强效果;但同期对照实验显示,该蛋白在棉、涤纶等更具工业意义的基材上的效果显著弱于丝绸,提示其与不同纤维表面的相互作用机制存在差异。这一基材选择性问题是当前生物媒染剂走向通用化的核心瓶颈,也是本项目拟攻关的关键科学问题:如何在原子层面解析 BmCBP 与丝素、纤维素、PET 等不同纤维表面的相互作用模式,并以此为依据,设计在棉、涤纶基材上同样具备高色牢度的 BmCBP 变体。</w:t>
      </w:r>
    </w:p>
    <w:p w14:paraId="4BB09540">
      <w:pPr>
        <w:numPr>
          <w:ilvl w:val="0"/>
          <w:numId w:val="0"/>
        </w:numPr>
        <w:spacing w:before="40" w:after="40"/>
        <w:rPr>
          <w:rFonts w:hint="eastAsia" w:ascii="Times New Roman" w:hAnsi="Times New Roman"/>
        </w:rPr>
      </w:pPr>
    </w:p>
    <w:p w14:paraId="42811AC5">
      <w:pPr>
        <w:spacing w:before="40" w:after="40"/>
        <w:rPr>
          <w:rFonts w:hint="eastAsia" w:ascii="Times New Roman" w:hAnsi="Times New Roman" w:eastAsia="宋体" w:cs="宋体"/>
          <w:sz w:val="24"/>
          <w:szCs w:val="24"/>
        </w:rPr>
      </w:pPr>
      <w:r>
        <w:rPr>
          <w:rFonts w:hint="eastAsia" w:ascii="Times New Roman" w:hAnsi="Times New Roman" w:eastAsia="宋体" w:cs="宋体"/>
          <w:sz w:val="24"/>
          <w:szCs w:val="24"/>
        </w:rPr>
        <w:t>(2)AI 在项目中的定位</w:t>
      </w:r>
    </w:p>
    <w:p w14:paraId="67724AEA">
      <w:pPr>
        <w:spacing w:before="40" w:after="40"/>
        <w:rPr>
          <w:rFonts w:ascii="Times New Roman" w:hAnsi="Times New Roman"/>
        </w:rPr>
      </w:pPr>
    </w:p>
    <w:p w14:paraId="168F664F">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AI 与计算工作构成"光绘酵染"项目的核心方法论,贯穿"候选挖掘—机制解析—理性设计—实验反馈"全流程,与湿实验形成迭代闭环。具体定位如下。</w:t>
      </w:r>
    </w:p>
    <w:p w14:paraId="4D0197D1">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一是候选挖掘,拟采用 ESM-2 蛋白质语言模型对类胡萝卜素结合蛋白家族开展嵌入空间检索,系统评估 BmCBP 及其同源候选的功能相似度,为后续工作提供经计算筛选支持的支架蛋白。</w:t>
      </w:r>
    </w:p>
    <w:p w14:paraId="4F1E49CA">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二是机制解析,拟综合运用 AlphaFold2 与 AlphaFold-Multimer 预测 BmCBP 单体结构与 BmCBP–染料复合物结合模式,并将其与丝素、纤维素、PET 三类基材表面模型进行分子对接,从结构层面解释前期观察到的基材选择性差异。</w:t>
      </w:r>
    </w:p>
    <w:p w14:paraId="371E5546">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三是理性设计,拟以 ProteinMPNN 与 ESM-IF 为核心工具,在 BmCBP 骨架基础上对纤维结合界面残基进行定向重设计,生成针对棉、涤纶基材的候选变体序列,送湿实验验证后回流数据,驱动下一轮 AI 模型优化。</w:t>
      </w:r>
    </w:p>
    <w:p w14:paraId="0E2C0BFE">
      <w:pPr>
        <w:pStyle w:val="4"/>
        <w:rPr>
          <w:rFonts w:ascii="Times New Roman" w:hAnsi="Times New Roman"/>
        </w:rPr>
      </w:pPr>
      <w:r>
        <w:rPr>
          <w:rFonts w:ascii="Times New Roman" w:hAnsi="Times New Roman"/>
        </w:rPr>
        <w:t>② 模型架构</w:t>
      </w:r>
    </w:p>
    <w:p w14:paraId="5E9C38CB">
      <w:pPr>
        <w:spacing w:before="40" w:after="40"/>
        <w:rPr>
          <w:rFonts w:hint="eastAsia" w:ascii="Times New Roman" w:hAnsi="Times New Roman" w:eastAsia="宋体" w:cs="宋体"/>
          <w:sz w:val="24"/>
          <w:szCs w:val="24"/>
        </w:rPr>
      </w:pPr>
      <w:r>
        <w:rPr>
          <w:rFonts w:hint="eastAsia" w:ascii="Times New Roman" w:hAnsi="Times New Roman" w:eastAsia="宋体" w:cs="宋体"/>
          <w:sz w:val="24"/>
          <w:szCs w:val="24"/>
        </w:rPr>
        <w:t>(1)整体架构与模型选型逻辑</w:t>
      </w:r>
    </w:p>
    <w:p w14:paraId="037DFE9D">
      <w:pPr>
        <w:spacing w:before="40" w:after="40"/>
        <w:rPr>
          <w:rFonts w:ascii="Times New Roman" w:hAnsi="Times New Roman" w:eastAsia="宋体" w:cs="宋体"/>
          <w:sz w:val="24"/>
          <w:szCs w:val="24"/>
        </w:rPr>
      </w:pPr>
    </w:p>
    <w:p w14:paraId="628B8C12">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 AI 部分由三类预训练模型协同构成,对应"候选挖掘—机制解析—理性设计"三个环节,都不需要从零训练,而是在已有大规模预训练权重的基础上做下游推理与少量条件性微调。三类模型分属不同的神经网络范式:一是 Transformer 类的蛋白质语言模型(ESM-2),用于在序列空间做表征与检索;二是 Evoformer 加结构模块的多模态架构(AlphaFold2 / AlphaFold-Multimer),用于结构与复合物预测;三是图神经网络与逆折叠模型(ProteinMPNN、ESM-IF1),用于从给定结构反推序列。这种"语言模型 + 结构模型 + 逆折叠模型"的组合,是 2023 年以来蛋白质从头设计与理性改造领域较为公认的工作流配置。</w:t>
      </w:r>
    </w:p>
    <w:p w14:paraId="00232ED4">
      <w:pPr>
        <w:spacing w:before="40" w:after="40"/>
        <w:rPr>
          <w:rFonts w:ascii="Times New Roman" w:hAnsi="Times New Roman" w:eastAsia="宋体" w:cs="宋体"/>
          <w:sz w:val="24"/>
          <w:szCs w:val="24"/>
        </w:rPr>
      </w:pPr>
    </w:p>
    <w:p w14:paraId="3C3FE1E6">
      <w:pPr>
        <w:numPr>
          <w:ilvl w:val="0"/>
          <w:numId w:val="3"/>
        </w:numPr>
        <w:spacing w:before="40" w:after="40"/>
        <w:rPr>
          <w:rFonts w:ascii="Times New Roman" w:hAnsi="Times New Roman" w:eastAsia="宋体" w:cs="宋体"/>
          <w:sz w:val="24"/>
          <w:szCs w:val="24"/>
        </w:rPr>
      </w:pPr>
      <w:r>
        <w:rPr>
          <w:rFonts w:ascii="Times New Roman" w:hAnsi="Times New Roman" w:eastAsia="宋体" w:cs="宋体"/>
          <w:sz w:val="24"/>
          <w:szCs w:val="24"/>
        </w:rPr>
        <w:t>各模型版本、来源与本团队的使用方式</w:t>
      </w:r>
    </w:p>
    <w:p w14:paraId="72B185D3">
      <w:pPr>
        <w:widowControl w:val="0"/>
        <w:numPr>
          <w:ilvl w:val="0"/>
          <w:numId w:val="0"/>
        </w:numPr>
        <w:spacing w:before="40" w:after="40"/>
        <w:rPr>
          <w:rFonts w:ascii="Times New Roman" w:hAnsi="Times New Roman" w:eastAsia="宋体" w:cs="宋体"/>
          <w:sz w:val="24"/>
          <w:szCs w:val="24"/>
        </w:rPr>
      </w:pPr>
    </w:p>
    <w:p w14:paraId="70948243">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ESM-2 拟采用 Meta AI 发布的 esm2_t33_650M_UR50D 版本(33 层 Transformer,650M 参数,1280 维残基嵌入),源自 Lin 等人 2023 年发表于 Science 的工作。本团队不对模型权重做微调,仅作为冻结特征提取器使用,把 BmCBP 及其同源候选的氨基酸序列嵌入到 1280 维语义空间,用余弦相似度做近邻检索,并和传统的 BLAST 序列比对结果做交叉验证。</w:t>
      </w:r>
    </w:p>
    <w:p w14:paraId="6BCA5627">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AlphaFold2 拟采用 DeepMind 发布的 v2.3.2 稳定版,复合物预测使用其中集成的 AlphaFold-Multimer v3 模块。考虑到本团队的算力条件,实际部署上拟以 ColabFold(Mirdita 等,Nature Methods 2022)作为前端,以减小 MSA 构建的时间开销。本团队不修改模型本体,仅在以下两处做工程化扩展:一是把 BmCBP 已通过 SDS-PAGE 表征的分子量与预测结构做一致性核对;二是把虾青素配体作为非标准残基,先用 OpenMM 做结构松弛后再送入对接环节。</w:t>
      </w:r>
    </w:p>
    <w:p w14:paraId="040E8D7B">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ProteinMPNN 拟采用 Dauparas 等人 2022 年发布的 v1.0.1 版本(消息传递图神经网络,在主链坐标条件下做残基类型预测)。本团队不对模型做重新训练,仅在使用时引入两类位点约束:一是把 BmCBP 已验证的关键结合残基(根据前期 OD480 滴定实验间接推断)固定不变,只对纤维结合界面候选残基开放设计空间;二是用采样温度参数(temperature = 0.1 到 0.3)控制设计序列的多样性。ESM-IF1(Hsu 等,ICML 2022)作为 ProteinMPNN 的补充,用于对同一骨架生成第二套候选序列,两套结果取交集作为优先送湿实验验证的对象。</w:t>
      </w:r>
    </w:p>
    <w:p w14:paraId="7536FEAA">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分子对接环节,基线方法采用 AutoDock Vina 1.2.5,主对接工具采用 DiffDock(Corso 等,ICLR 2023,扩散模型驱动的对接)和 HADDOCK 2.4(用于蛋白—大分子表面对接)。</w:t>
      </w:r>
    </w:p>
    <w:p w14:paraId="1AD0A5BB">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textAlignment w:val="auto"/>
        <w:rPr>
          <w:rFonts w:hint="eastAsia" w:ascii="Times New Roman" w:hAnsi="Times New Roman" w:eastAsia="宋体" w:cs="宋体"/>
        </w:rPr>
      </w:pPr>
    </w:p>
    <w:p w14:paraId="69003BF4">
      <w:pPr>
        <w:keepNext w:val="0"/>
        <w:keepLines w:val="0"/>
        <w:pageBreakBefore w:val="0"/>
        <w:widowControl w:val="0"/>
        <w:numPr>
          <w:ilvl w:val="0"/>
          <w:numId w:val="3"/>
        </w:numPr>
        <w:kinsoku/>
        <w:wordWrap/>
        <w:overflowPunct/>
        <w:topLinePunct w:val="0"/>
        <w:autoSpaceDE/>
        <w:autoSpaceDN/>
        <w:bidi w:val="0"/>
        <w:adjustRightInd/>
        <w:snapToGrid/>
        <w:spacing w:before="40" w:after="40" w:line="360" w:lineRule="auto"/>
        <w:ind w:left="0" w:leftChars="0" w:firstLine="0" w:firstLineChars="0"/>
        <w:textAlignment w:val="auto"/>
        <w:rPr>
          <w:rFonts w:ascii="Times New Roman" w:hAnsi="Times New Roman" w:eastAsia="宋体" w:cs="宋体"/>
          <w:sz w:val="24"/>
          <w:szCs w:val="24"/>
        </w:rPr>
      </w:pPr>
      <w:r>
        <w:rPr>
          <w:rFonts w:ascii="Times New Roman" w:hAnsi="Times New Roman" w:eastAsia="宋体" w:cs="宋体"/>
          <w:sz w:val="24"/>
          <w:szCs w:val="24"/>
        </w:rPr>
        <w:t>计算资源需求</w:t>
      </w:r>
    </w:p>
    <w:p w14:paraId="7F795EA7">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textAlignment w:val="auto"/>
        <w:rPr>
          <w:rFonts w:hint="eastAsia" w:ascii="Times New Roman" w:hAnsi="Times New Roman" w:eastAsia="宋体" w:cs="宋体"/>
          <w:sz w:val="24"/>
          <w:szCs w:val="24"/>
        </w:rPr>
      </w:pPr>
    </w:p>
    <w:p w14:paraId="42B9441C">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 AI 部分以推理为主,不涉及大规模模型训练,显存需求集中在 AlphaFold-Multimer 复合物预测环节。在 ESM-2 嵌入提取上,使用单卡 24GB 显存的 GPU 即可,每 100 条序列推理耗时不到 5 分钟;AlphaFold2 单体结构预测需要单卡 40GB 显存的 GPU,单个蛋白耗时约 15 到 30 分钟,主要时间消耗在 MSA(多序列比对)构建环节;AlphaFold-Multimer 复合物预测对显存要求最高,需要单卡 80GB 显存的 GPU,单个复合物耗时 1 到 3 小时,本项目的目标复合物规模都控制在 1000 残基以内;ProteinMPNN 的序列设计推理在单卡 16GB 显存的 GPU 上即可完成,单条候选序列生成时间不到 1 分钟;DiffDock 的对接推理需要单卡 24GB 显存的 GPU,单个复合物对接耗时约 5 到 10 分钟。</w:t>
      </w:r>
    </w:p>
    <w:p w14:paraId="4BC49724">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整体上,本项目 GPU 总用时预估在 200 小时以内,拟由北京理工大学校级高性能计算资源平台提供 A100 算力支持,不足部分由公有云(腾讯云 / 阿里云)弹性补充。</w:t>
      </w:r>
    </w:p>
    <w:p w14:paraId="624F2EAD">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textAlignment w:val="auto"/>
        <w:rPr>
          <w:rFonts w:hint="eastAsia" w:ascii="Times New Roman" w:hAnsi="Times New Roman" w:eastAsia="宋体" w:cs="宋体"/>
          <w:sz w:val="24"/>
          <w:szCs w:val="24"/>
        </w:rPr>
      </w:pPr>
    </w:p>
    <w:p w14:paraId="1B0451C4">
      <w:pPr>
        <w:widowControl w:val="0"/>
        <w:numPr>
          <w:ilvl w:val="0"/>
          <w:numId w:val="0"/>
        </w:numPr>
        <w:spacing w:before="40" w:after="40"/>
        <w:rPr>
          <w:rFonts w:ascii="Times New Roman" w:hAnsi="Times New Roman" w:eastAsia="宋体" w:cs="宋体"/>
          <w:sz w:val="24"/>
          <w:szCs w:val="24"/>
        </w:rPr>
      </w:pPr>
    </w:p>
    <w:p w14:paraId="756D72B7">
      <w:pPr>
        <w:spacing w:before="40" w:after="40"/>
        <w:rPr>
          <w:rFonts w:ascii="Times New Roman" w:hAnsi="Times New Roman" w:eastAsia="宋体" w:cs="宋体"/>
          <w:sz w:val="24"/>
          <w:szCs w:val="24"/>
        </w:rPr>
      </w:pPr>
    </w:p>
    <w:p w14:paraId="2A3BA1DC">
      <w:pPr>
        <w:pStyle w:val="4"/>
        <w:rPr>
          <w:rFonts w:ascii="Times New Roman" w:hAnsi="Times New Roman"/>
        </w:rPr>
      </w:pPr>
      <w:r>
        <w:rPr>
          <w:rFonts w:ascii="Times New Roman" w:hAnsi="Times New Roman"/>
        </w:rPr>
        <w:t>③ 数据来源与处理</w:t>
      </w:r>
    </w:p>
    <w:p w14:paraId="1092996B">
      <w:pPr>
        <w:spacing w:before="40" w:after="40"/>
        <w:rPr>
          <w:rFonts w:ascii="Times New Roman" w:hAnsi="Times New Roman" w:eastAsia="宋体" w:cs="宋体"/>
          <w:sz w:val="24"/>
          <w:szCs w:val="24"/>
        </w:rPr>
      </w:pPr>
      <w:r>
        <w:rPr>
          <w:rFonts w:ascii="Times New Roman" w:hAnsi="Times New Roman" w:eastAsia="宋体" w:cs="宋体"/>
          <w:sz w:val="24"/>
          <w:szCs w:val="24"/>
        </w:rPr>
        <w:t>(1)数据总体构成</w:t>
      </w:r>
    </w:p>
    <w:p w14:paraId="46C281EE">
      <w:pPr>
        <w:spacing w:before="40" w:after="40"/>
        <w:rPr>
          <w:rFonts w:ascii="Times New Roman" w:hAnsi="Times New Roman" w:eastAsia="宋体" w:cs="宋体"/>
          <w:sz w:val="24"/>
          <w:szCs w:val="24"/>
        </w:rPr>
      </w:pPr>
    </w:p>
    <w:p w14:paraId="65BC5E5E">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 AI 部分不涉及大规模有监督训练,所用数据按用途分为四类:用于候选挖掘的蛋白序列数据集、用于结构预测与对接的结构数据集、用于配体建模的小分子数据集,以及用于纤维表面建模的高分子结构数据集。所有数据来源均为公开数据库或经授权可用的学术资源,不涉及人类基因组、医疗记录等敏感数据,也不涉及任何受版权保护或需付费授权的私有数据集。</w:t>
      </w:r>
    </w:p>
    <w:p w14:paraId="2F203DF8">
      <w:pPr>
        <w:spacing w:before="40" w:after="40"/>
        <w:rPr>
          <w:rFonts w:ascii="Times New Roman" w:hAnsi="Times New Roman" w:eastAsia="宋体" w:cs="宋体"/>
          <w:sz w:val="24"/>
          <w:szCs w:val="24"/>
        </w:rPr>
      </w:pPr>
    </w:p>
    <w:p w14:paraId="4F5E575A">
      <w:pPr>
        <w:spacing w:before="40" w:after="40"/>
        <w:rPr>
          <w:rFonts w:ascii="Times New Roman" w:hAnsi="Times New Roman" w:eastAsia="宋体" w:cs="宋体"/>
          <w:sz w:val="24"/>
          <w:szCs w:val="24"/>
        </w:rPr>
      </w:pPr>
    </w:p>
    <w:p w14:paraId="47AB6473">
      <w:pPr>
        <w:numPr>
          <w:ilvl w:val="0"/>
          <w:numId w:val="4"/>
        </w:numPr>
        <w:spacing w:before="40" w:after="40"/>
        <w:rPr>
          <w:rFonts w:ascii="Times New Roman" w:hAnsi="Times New Roman" w:eastAsia="宋体" w:cs="宋体"/>
          <w:sz w:val="24"/>
          <w:szCs w:val="24"/>
        </w:rPr>
      </w:pPr>
      <w:r>
        <w:rPr>
          <w:rFonts w:ascii="Times New Roman" w:hAnsi="Times New Roman" w:eastAsia="宋体" w:cs="宋体"/>
          <w:sz w:val="24"/>
          <w:szCs w:val="24"/>
        </w:rPr>
        <w:t>蛋白序列数据集(候选挖掘环节)</w:t>
      </w:r>
    </w:p>
    <w:p w14:paraId="333BADEB">
      <w:pPr>
        <w:widowControl w:val="0"/>
        <w:numPr>
          <w:ilvl w:val="0"/>
          <w:numId w:val="0"/>
        </w:numPr>
        <w:spacing w:before="40" w:after="40"/>
        <w:rPr>
          <w:rFonts w:ascii="Times New Roman" w:hAnsi="Times New Roman" w:eastAsia="宋体" w:cs="宋体"/>
          <w:sz w:val="24"/>
          <w:szCs w:val="24"/>
        </w:rPr>
      </w:pPr>
    </w:p>
    <w:p w14:paraId="4B2E967B">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候选挖掘环节的核心输入是类胡萝卜素结合蛋白家族的氨基酸序列集合。本团队拟从 UniProtKB/Swiss-Prot(2025 年 1 月发布版本,EBI 镜像)中检索"carotenoid-binding"相关功能注释,初步预估候选规模在 300 到 600 条之间,经去冗余处理(CD-HIT,相似度阈值 0.9)后保留约 200 条作为 ESM-2 嵌入空间检索的参考库。BmCBP 自身序列来源于 NCBI GenBank 登录号 AB186386(家蚕 Bombyx mori 类胡萝卜素结合蛋白),序列长度 277 个氨基酸,跟本团队前期 SDS-PAGE 测得的分子量(约 30 kDa)一致。同源序列扩展拟通过 UniRef50 数据库(2024.12 版本)做远源同源检索,补充嵌入空间近邻分析。</w:t>
      </w:r>
    </w:p>
    <w:p w14:paraId="2FAE947E">
      <w:pPr>
        <w:widowControl w:val="0"/>
        <w:numPr>
          <w:ilvl w:val="0"/>
          <w:numId w:val="0"/>
        </w:numPr>
        <w:spacing w:before="40" w:after="40"/>
        <w:rPr>
          <w:rFonts w:ascii="Times New Roman" w:hAnsi="Times New Roman" w:eastAsia="宋体" w:cs="宋体"/>
          <w:sz w:val="24"/>
          <w:szCs w:val="24"/>
        </w:rPr>
      </w:pPr>
    </w:p>
    <w:p w14:paraId="4CE7C67B">
      <w:pPr>
        <w:widowControl w:val="0"/>
        <w:numPr>
          <w:ilvl w:val="0"/>
          <w:numId w:val="4"/>
        </w:numPr>
        <w:spacing w:before="40" w:after="40"/>
        <w:ind w:left="0" w:leftChars="0" w:firstLine="0" w:firstLineChars="0"/>
        <w:rPr>
          <w:rFonts w:ascii="Times New Roman" w:hAnsi="Times New Roman" w:eastAsia="宋体" w:cs="宋体"/>
          <w:sz w:val="24"/>
          <w:szCs w:val="24"/>
        </w:rPr>
      </w:pPr>
      <w:r>
        <w:rPr>
          <w:rFonts w:ascii="Times New Roman" w:hAnsi="Times New Roman" w:eastAsia="宋体" w:cs="宋体"/>
          <w:sz w:val="24"/>
          <w:szCs w:val="24"/>
        </w:rPr>
        <w:t>结构数据集(机制解析环节)</w:t>
      </w:r>
    </w:p>
    <w:p w14:paraId="7978C7C5">
      <w:pPr>
        <w:widowControl w:val="0"/>
        <w:numPr>
          <w:ilvl w:val="0"/>
          <w:numId w:val="0"/>
        </w:numPr>
        <w:spacing w:before="40" w:after="40"/>
        <w:rPr>
          <w:rFonts w:ascii="Times New Roman" w:hAnsi="Times New Roman" w:eastAsia="宋体" w:cs="宋体"/>
          <w:sz w:val="24"/>
          <w:szCs w:val="24"/>
        </w:rPr>
      </w:pPr>
    </w:p>
    <w:p w14:paraId="128700B8">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结构预测以 AlphaFold2/Multimer 输出为主,验证用结构则取自 PDB(RCSB 镜像,数据快照时间 2025 年 3 月)。BmCBP 目前在 PDB 中没有实验解析结构,因此 AlphaFold 预测结果将作为后续对接与设计的基准结构。验证数据集包括同家族已解析结构,比如桑蚕 P25 类胡萝卜素结合蛋白(PDB ID:2E3X)与紫色光合细菌的类胡萝卜素结合蛋白(PDB ID:1M98、3PRC),用于跟 AlphaFold 预测的 BmCBP 结构做拓扑学一致性核对(主链 RMSD 与 TM-score 评估)。</w:t>
      </w:r>
    </w:p>
    <w:p w14:paraId="6E43C2FE">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纤维表面模型分三类构建:丝素拟基于 PDB ID 3UA0(蚕丝丝素重链片段)与 6QY0(丝素 N-末端结构域)构建表面 patch;纤维素拟基于 Cellulose Iβ 晶体结构(PDB ID 4ZOS 与文献已发表的分子动力学预平衡模型)构建表面切片;PET 表面拟基于已发表的 PET 晶体结构参数(Daubeny 等,1954;以及 Wei 等,Nature Catalysis 2022 提供的可用于对接的预平衡模型)构建。所有纤维表面 patch 在送对接前都用 OpenMM 8.1 做 1 ns 短时长结构松弛。</w:t>
      </w:r>
    </w:p>
    <w:p w14:paraId="5C6D1EA5">
      <w:pPr>
        <w:widowControl w:val="0"/>
        <w:numPr>
          <w:ilvl w:val="0"/>
          <w:numId w:val="0"/>
        </w:numPr>
        <w:spacing w:before="40" w:after="40"/>
        <w:rPr>
          <w:rFonts w:ascii="Times New Roman" w:hAnsi="Times New Roman" w:eastAsia="宋体" w:cs="宋体"/>
          <w:sz w:val="24"/>
          <w:szCs w:val="24"/>
        </w:rPr>
      </w:pPr>
    </w:p>
    <w:p w14:paraId="4540606F">
      <w:pPr>
        <w:widowControl w:val="0"/>
        <w:numPr>
          <w:ilvl w:val="0"/>
          <w:numId w:val="0"/>
        </w:numPr>
        <w:spacing w:before="40" w:after="40"/>
        <w:rPr>
          <w:rFonts w:ascii="Times New Roman" w:hAnsi="Times New Roman" w:eastAsia="宋体" w:cs="宋体"/>
          <w:sz w:val="24"/>
          <w:szCs w:val="24"/>
        </w:rPr>
      </w:pPr>
    </w:p>
    <w:p w14:paraId="716E21D9">
      <w:pPr>
        <w:widowControl w:val="0"/>
        <w:numPr>
          <w:ilvl w:val="0"/>
          <w:numId w:val="4"/>
        </w:numPr>
        <w:spacing w:before="40" w:after="40"/>
        <w:ind w:left="0" w:leftChars="0" w:firstLine="0" w:firstLineChars="0"/>
        <w:rPr>
          <w:rFonts w:ascii="Times New Roman" w:hAnsi="Times New Roman" w:eastAsia="宋体" w:cs="宋体"/>
          <w:sz w:val="24"/>
          <w:szCs w:val="24"/>
        </w:rPr>
      </w:pPr>
      <w:r>
        <w:rPr>
          <w:rFonts w:ascii="Times New Roman" w:hAnsi="Times New Roman" w:eastAsia="宋体" w:cs="宋体"/>
          <w:sz w:val="24"/>
          <w:szCs w:val="24"/>
        </w:rPr>
        <w:t>小分子配体数据集</w:t>
      </w:r>
    </w:p>
    <w:p w14:paraId="571BCB4B">
      <w:pPr>
        <w:widowControl w:val="0"/>
        <w:numPr>
          <w:ilvl w:val="0"/>
          <w:numId w:val="0"/>
        </w:numPr>
        <w:spacing w:before="40" w:after="40"/>
        <w:rPr>
          <w:rFonts w:ascii="Times New Roman" w:hAnsi="Times New Roman" w:eastAsia="宋体" w:cs="宋体"/>
          <w:sz w:val="24"/>
          <w:szCs w:val="24"/>
        </w:rPr>
      </w:pPr>
    </w:p>
    <w:p w14:paraId="322F4157">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虾青素三维结构取自 PubChem CID 5281224,SDF 格式;番茄红素取自 PubChem CID 446925;靛蓝素(indigoidine)取自 PubChem CID 135605000。所有小分子结构在送 DiffDock / HADDOCK 之前,先用 RDKit 2024.03 做质子化与构象生成,再用 OpenBabel 3.1 转换为对接所需格式。</w:t>
      </w:r>
    </w:p>
    <w:p w14:paraId="1DEB32AC">
      <w:pPr>
        <w:widowControl w:val="0"/>
        <w:numPr>
          <w:ilvl w:val="0"/>
          <w:numId w:val="0"/>
        </w:numPr>
        <w:spacing w:before="40" w:after="40"/>
        <w:rPr>
          <w:rFonts w:ascii="Times New Roman" w:hAnsi="Times New Roman" w:eastAsia="宋体" w:cs="宋体"/>
          <w:sz w:val="24"/>
          <w:szCs w:val="24"/>
        </w:rPr>
      </w:pPr>
    </w:p>
    <w:p w14:paraId="24A90280">
      <w:pPr>
        <w:widowControl w:val="0"/>
        <w:numPr>
          <w:ilvl w:val="0"/>
          <w:numId w:val="4"/>
        </w:numPr>
        <w:spacing w:before="40" w:after="40"/>
        <w:ind w:left="0" w:leftChars="0" w:firstLine="0" w:firstLineChars="0"/>
        <w:rPr>
          <w:rFonts w:ascii="Times New Roman" w:hAnsi="Times New Roman" w:eastAsia="宋体" w:cs="宋体"/>
          <w:sz w:val="24"/>
          <w:szCs w:val="24"/>
        </w:rPr>
      </w:pPr>
      <w:r>
        <w:rPr>
          <w:rFonts w:ascii="Times New Roman" w:hAnsi="Times New Roman" w:eastAsia="宋体" w:cs="宋体"/>
          <w:sz w:val="24"/>
          <w:szCs w:val="24"/>
        </w:rPr>
        <w:t>数据质量评估与版本控制</w:t>
      </w:r>
    </w:p>
    <w:p w14:paraId="7516C2F1">
      <w:pPr>
        <w:widowControl w:val="0"/>
        <w:numPr>
          <w:ilvl w:val="0"/>
          <w:numId w:val="0"/>
        </w:numPr>
        <w:spacing w:before="40" w:after="40"/>
        <w:rPr>
          <w:rFonts w:ascii="Times New Roman" w:hAnsi="Times New Roman" w:eastAsia="宋体" w:cs="宋体"/>
          <w:sz w:val="24"/>
          <w:szCs w:val="24"/>
        </w:rPr>
      </w:pPr>
    </w:p>
    <w:p w14:paraId="311C7E9B">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数据质量评估主要关注三个维度:序列冗余度(CD-HIT 控制在 90% 以下)、结构分辨率(PDB 验证结构筛选阈值为 ≤ 3.0 Å)、序列功能注释置信度(Swiss-Prot 手工注释优先于 TrEMBL 自动注释)。本项目预估存在的数据偏倚是,类胡萝卜素结合蛋白家族公开序列与结构数据主要集中在鳞翅目昆虫和光合微生物两类,在工业用染料结合场景下的覆盖度有限,这一偏倚在第④章和第⑦章中均会展开讨论与相应应对。</w:t>
      </w:r>
    </w:p>
    <w:p w14:paraId="4422A3D6">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数据版本控制方面,所有原始数据集均在拉取时记录 SHA-256 哈希,统一归档于本团队的 Gitee 仓库 data_raw/ 目录(只读),后续派生数据(如 ESM-2 嵌入向量、AlphaFold 预测的 PDB 文件)归档于 data_derived/ 目录,并附 Git LFS 跟踪与版本号标签(v1.0、v1.1 ...)。</w:t>
      </w:r>
    </w:p>
    <w:p w14:paraId="0A78BD3E">
      <w:pPr>
        <w:widowControl w:val="0"/>
        <w:numPr>
          <w:ilvl w:val="0"/>
          <w:numId w:val="0"/>
        </w:numPr>
        <w:spacing w:before="40" w:after="40"/>
        <w:rPr>
          <w:rFonts w:ascii="Times New Roman" w:hAnsi="Times New Roman" w:eastAsia="宋体" w:cs="宋体"/>
          <w:sz w:val="24"/>
          <w:szCs w:val="24"/>
        </w:rPr>
      </w:pPr>
    </w:p>
    <w:p w14:paraId="08045A5A">
      <w:pPr>
        <w:widowControl w:val="0"/>
        <w:numPr>
          <w:ilvl w:val="0"/>
          <w:numId w:val="0"/>
        </w:numPr>
        <w:spacing w:before="40" w:after="40"/>
        <w:rPr>
          <w:rFonts w:ascii="Times New Roman" w:hAnsi="Times New Roman" w:eastAsia="宋体" w:cs="宋体"/>
          <w:sz w:val="24"/>
          <w:szCs w:val="24"/>
        </w:rPr>
      </w:pPr>
    </w:p>
    <w:p w14:paraId="4E2A53E6">
      <w:pPr>
        <w:widowControl w:val="0"/>
        <w:numPr>
          <w:ilvl w:val="0"/>
          <w:numId w:val="0"/>
        </w:numPr>
        <w:spacing w:before="40" w:after="40"/>
        <w:rPr>
          <w:rFonts w:ascii="Times New Roman" w:hAnsi="Times New Roman" w:eastAsia="宋体" w:cs="宋体"/>
          <w:sz w:val="24"/>
          <w:szCs w:val="24"/>
        </w:rPr>
      </w:pPr>
      <w:r>
        <w:rPr>
          <w:rFonts w:ascii="Times New Roman" w:hAnsi="Times New Roman" w:eastAsia="宋体" w:cs="宋体"/>
          <w:sz w:val="24"/>
          <w:szCs w:val="24"/>
        </w:rPr>
        <w:t>(6)数据使用授权情况</w:t>
      </w:r>
    </w:p>
    <w:p w14:paraId="0E2295B1">
      <w:pPr>
        <w:widowControl w:val="0"/>
        <w:numPr>
          <w:ilvl w:val="0"/>
          <w:numId w:val="0"/>
        </w:numPr>
        <w:spacing w:before="40" w:after="40"/>
        <w:rPr>
          <w:rFonts w:ascii="Times New Roman" w:hAnsi="Times New Roman" w:eastAsia="宋体" w:cs="宋体"/>
          <w:sz w:val="24"/>
          <w:szCs w:val="24"/>
        </w:rPr>
      </w:pPr>
    </w:p>
    <w:p w14:paraId="63DAB881">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本项目所用数据集全部为开放学术数据库:UniProt 采用 CC BY 4.0,PDB 采用 CC0 公共领域贡献,PubChem 数据为开放科学数据,RDKit 与 OpenBabel 为开源软件。不涉及受限医疗数据、人类基因组数据或受版权保护的私有数据集,无需额外伦理审查授权。</w:t>
      </w:r>
    </w:p>
    <w:p w14:paraId="1971E615">
      <w:pPr>
        <w:spacing w:before="40" w:after="40"/>
        <w:rPr>
          <w:rFonts w:ascii="Times New Roman" w:hAnsi="Times New Roman"/>
        </w:rPr>
      </w:pPr>
    </w:p>
    <w:p w14:paraId="63145B16">
      <w:pPr>
        <w:pStyle w:val="4"/>
        <w:rPr>
          <w:rFonts w:ascii="Times New Roman" w:hAnsi="Times New Roman"/>
        </w:rPr>
      </w:pPr>
      <w:r>
        <w:rPr>
          <w:rFonts w:ascii="Times New Roman" w:hAnsi="Times New Roman"/>
        </w:rPr>
        <w:t>④ 训练与验证策略</w:t>
      </w:r>
    </w:p>
    <w:p w14:paraId="0EFFE68B">
      <w:pPr>
        <w:spacing w:before="40" w:after="40"/>
        <w:rPr>
          <w:rFonts w:ascii="Times New Roman" w:hAnsi="Times New Roman"/>
        </w:rPr>
      </w:pPr>
    </w:p>
    <w:p w14:paraId="64F1935C">
      <w:pPr>
        <w:numPr>
          <w:ilvl w:val="0"/>
          <w:numId w:val="5"/>
        </w:numPr>
        <w:spacing w:before="40" w:after="40"/>
        <w:rPr>
          <w:rFonts w:ascii="Times New Roman" w:hAnsi="Times New Roman" w:eastAsia="宋体" w:cs="宋体"/>
          <w:sz w:val="24"/>
          <w:szCs w:val="24"/>
        </w:rPr>
      </w:pPr>
      <w:r>
        <w:rPr>
          <w:rFonts w:ascii="Times New Roman" w:hAnsi="Times New Roman" w:eastAsia="宋体" w:cs="宋体"/>
          <w:sz w:val="24"/>
          <w:szCs w:val="24"/>
        </w:rPr>
        <w:t>整体策略说明</w:t>
      </w:r>
    </w:p>
    <w:p w14:paraId="4F9FAB91">
      <w:pPr>
        <w:widowControl w:val="0"/>
        <w:numPr>
          <w:ilvl w:val="0"/>
          <w:numId w:val="0"/>
        </w:numPr>
        <w:spacing w:before="40" w:after="40"/>
        <w:rPr>
          <w:rFonts w:ascii="Times New Roman" w:hAnsi="Times New Roman" w:eastAsia="宋体" w:cs="宋体"/>
          <w:sz w:val="24"/>
          <w:szCs w:val="24"/>
        </w:rPr>
      </w:pPr>
    </w:p>
    <w:p w14:paraId="279043A0">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不开展从零训练或大规模微调,所有预训练模型(ESM-2、AlphaFold2、AlphaFold-Multimer、ProteinMPNN、ESM-IF1、DiffDock)均以冻结权重做推理的方式使用。这是基于两点考虑:一是上述模型在通用蛋白质数据上已具备稳定的泛化能力,本项目场景下没有充分的标注数据支持有效微调;二是冻结使用更有利于实验可复现性与结果可解释性,也跟比赛对可验证性的要求一致。因此本章节所述的"训练与验证策略"实质为推理流程中的对照设置、检查点设计与可复现性保障。</w:t>
      </w:r>
    </w:p>
    <w:p w14:paraId="15493C71">
      <w:pPr>
        <w:widowControl w:val="0"/>
        <w:numPr>
          <w:ilvl w:val="0"/>
          <w:numId w:val="0"/>
        </w:numPr>
        <w:spacing w:before="40" w:after="40"/>
        <w:rPr>
          <w:rFonts w:ascii="Times New Roman" w:hAnsi="Times New Roman" w:eastAsia="宋体" w:cs="宋体"/>
          <w:sz w:val="24"/>
          <w:szCs w:val="24"/>
        </w:rPr>
      </w:pPr>
    </w:p>
    <w:p w14:paraId="50DDAEF1">
      <w:pPr>
        <w:widowControl w:val="0"/>
        <w:numPr>
          <w:ilvl w:val="0"/>
          <w:numId w:val="5"/>
        </w:numPr>
        <w:spacing w:before="40" w:after="40"/>
        <w:ind w:left="0" w:leftChars="0" w:firstLine="0" w:firstLineChars="0"/>
        <w:rPr>
          <w:rFonts w:ascii="Times New Roman" w:hAnsi="Times New Roman" w:eastAsia="宋体" w:cs="宋体"/>
          <w:sz w:val="24"/>
          <w:szCs w:val="24"/>
        </w:rPr>
      </w:pPr>
      <w:r>
        <w:rPr>
          <w:rFonts w:ascii="Times New Roman" w:hAnsi="Times New Roman" w:eastAsia="宋体" w:cs="宋体"/>
          <w:sz w:val="24"/>
          <w:szCs w:val="24"/>
        </w:rPr>
        <w:t>数据划分与对照设置</w:t>
      </w:r>
    </w:p>
    <w:p w14:paraId="16597C6B">
      <w:pPr>
        <w:widowControl w:val="0"/>
        <w:numPr>
          <w:ilvl w:val="0"/>
          <w:numId w:val="0"/>
        </w:numPr>
        <w:spacing w:before="40" w:after="40"/>
        <w:rPr>
          <w:rFonts w:ascii="Times New Roman" w:hAnsi="Times New Roman" w:eastAsia="宋体" w:cs="宋体"/>
          <w:sz w:val="24"/>
          <w:szCs w:val="24"/>
        </w:rPr>
      </w:pPr>
    </w:p>
    <w:p w14:paraId="752A6FEB">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候选挖掘环节采用留一交叉验证思路:在类胡萝卜素结合蛋白家族库中,把每一条已实验验证具有染料结合活性的蛋白依次留作查询,其余作为检索池,评估 ESM-2 嵌入检索能不能稳定把 BmCBP 这类已知阳性蛋白排在 Top-K(K = 5、10、20)以内。同时设置两组阴性对照:一是从 UniRef50 中随机抽取的非类胡萝卜素结合蛋白 200 条,二是序列长度匹配的随机洗牌(shuffled)序列 200 条,用于评估检索的特异性。</w:t>
      </w:r>
    </w:p>
    <w:p w14:paraId="7E7593CF">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结构预测环节采用已知结构反演验证策略:对于类胡萝卜素结合蛋白家族中已有 PDB 结构的成员(如 2E3X、1M98),把它们的氨基酸序列输入 AlphaFold2,把预测结构与实验结构做主链 RMSD 与 TM-score 比对,作为该模型在本家族上预测能力的间接评估。BmCBP 本身没有实验结构,因此其 AlphaFold 预测的可信度通过 pLDDT(每残基置信度)与 PAE(预测对齐误差)两个内置指标做自评估,pLDDT &gt; 70 的区域被视为可信用于后续对接。</w:t>
      </w:r>
    </w:p>
    <w:p w14:paraId="311577C6">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设计环节采用回路一致性验证策略:对 ProteinMPNN 与 ESM-IF1 生成的候选变体序列,反向送回 AlphaFold2 做结构折叠预测,只有预测结构与原始骨架的 TM-score &gt; 0.9 且 pLDDT &gt; 70 的候选,才进入对接打分环节,这一步用于过滤可能折叠失败的设计。</w:t>
      </w:r>
    </w:p>
    <w:p w14:paraId="680D8636">
      <w:pPr>
        <w:widowControl w:val="0"/>
        <w:numPr>
          <w:ilvl w:val="0"/>
          <w:numId w:val="0"/>
        </w:numPr>
        <w:spacing w:before="40" w:after="40"/>
        <w:rPr>
          <w:rFonts w:ascii="Times New Roman" w:hAnsi="Times New Roman" w:eastAsia="宋体" w:cs="宋体"/>
          <w:sz w:val="24"/>
          <w:szCs w:val="24"/>
        </w:rPr>
      </w:pPr>
    </w:p>
    <w:p w14:paraId="530E1F74">
      <w:pPr>
        <w:widowControl w:val="0"/>
        <w:numPr>
          <w:ilvl w:val="0"/>
          <w:numId w:val="0"/>
        </w:numPr>
        <w:spacing w:before="40" w:after="40"/>
        <w:rPr>
          <w:rFonts w:ascii="Times New Roman" w:hAnsi="Times New Roman" w:eastAsia="宋体" w:cs="宋体"/>
          <w:sz w:val="24"/>
          <w:szCs w:val="24"/>
        </w:rPr>
      </w:pPr>
    </w:p>
    <w:p w14:paraId="5FC25EA4">
      <w:pPr>
        <w:widowControl w:val="0"/>
        <w:numPr>
          <w:ilvl w:val="0"/>
          <w:numId w:val="5"/>
        </w:numPr>
        <w:spacing w:before="40" w:after="40"/>
        <w:ind w:left="0" w:leftChars="0" w:firstLine="0" w:firstLineChars="0"/>
        <w:rPr>
          <w:rFonts w:ascii="Times New Roman" w:hAnsi="Times New Roman" w:eastAsia="宋体" w:cs="宋体"/>
          <w:sz w:val="24"/>
          <w:szCs w:val="24"/>
        </w:rPr>
      </w:pPr>
      <w:r>
        <w:rPr>
          <w:rFonts w:ascii="Times New Roman" w:hAnsi="Times New Roman" w:eastAsia="宋体" w:cs="宋体"/>
          <w:sz w:val="24"/>
          <w:szCs w:val="24"/>
        </w:rPr>
        <w:t>损失函数与优化器(适用部分)</w:t>
      </w:r>
    </w:p>
    <w:p w14:paraId="4938F4E8">
      <w:pPr>
        <w:widowControl w:val="0"/>
        <w:numPr>
          <w:ilvl w:val="0"/>
          <w:numId w:val="0"/>
        </w:numPr>
        <w:spacing w:before="40" w:after="40"/>
        <w:rPr>
          <w:rFonts w:ascii="Times New Roman" w:hAnsi="Times New Roman" w:eastAsia="宋体" w:cs="宋体"/>
          <w:sz w:val="24"/>
          <w:szCs w:val="24"/>
        </w:rPr>
      </w:pPr>
    </w:p>
    <w:p w14:paraId="4FF9CAC1">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本项目唯一涉及参数更新的环节是 ProteinMPNN 的位点约束采样,这一步不更新模型权重,仅在自回归采样过程中通过位点固定与温度参数控制设计输出。采样温度拟设置为 t = 0.1、0.2、0.3 三档,每档生成 500 条候选序列,用于在多样性与设计质量之间做权衡。DiffDock 的对接打分采用其默认的扩散似然(diffusion likelihood)作为评分函数。所有环节不涉及传统意义上的梯度下降优化与损失函数训练。</w:t>
      </w:r>
    </w:p>
    <w:p w14:paraId="35DC49F3">
      <w:pPr>
        <w:widowControl w:val="0"/>
        <w:numPr>
          <w:ilvl w:val="0"/>
          <w:numId w:val="0"/>
        </w:numPr>
        <w:spacing w:before="40" w:after="40"/>
        <w:rPr>
          <w:rFonts w:ascii="Times New Roman" w:hAnsi="Times New Roman" w:eastAsia="宋体" w:cs="宋体"/>
          <w:sz w:val="24"/>
          <w:szCs w:val="24"/>
        </w:rPr>
      </w:pPr>
    </w:p>
    <w:p w14:paraId="15C5E353">
      <w:pPr>
        <w:widowControl w:val="0"/>
        <w:numPr>
          <w:ilvl w:val="0"/>
          <w:numId w:val="5"/>
        </w:numPr>
        <w:spacing w:before="40" w:after="40"/>
        <w:ind w:left="0" w:leftChars="0" w:firstLine="0" w:firstLineChars="0"/>
        <w:rPr>
          <w:rFonts w:ascii="Times New Roman" w:hAnsi="Times New Roman" w:eastAsia="宋体" w:cs="宋体"/>
          <w:sz w:val="24"/>
          <w:szCs w:val="24"/>
        </w:rPr>
      </w:pPr>
      <w:r>
        <w:rPr>
          <w:rFonts w:ascii="Times New Roman" w:hAnsi="Times New Roman" w:eastAsia="宋体" w:cs="宋体"/>
          <w:sz w:val="24"/>
          <w:szCs w:val="24"/>
        </w:rPr>
        <w:t>随机种子与可复现性</w:t>
      </w:r>
    </w:p>
    <w:p w14:paraId="63C55BC7">
      <w:pPr>
        <w:widowControl w:val="0"/>
        <w:numPr>
          <w:ilvl w:val="0"/>
          <w:numId w:val="0"/>
        </w:numPr>
        <w:spacing w:before="40" w:after="40"/>
        <w:rPr>
          <w:rFonts w:ascii="Times New Roman" w:hAnsi="Times New Roman" w:eastAsia="宋体" w:cs="宋体"/>
          <w:sz w:val="24"/>
          <w:szCs w:val="24"/>
        </w:rPr>
      </w:pPr>
    </w:p>
    <w:p w14:paraId="292F37FD">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所有涉及随机采样的环节(ProteinMPNN 序列生成、DiffDock 构象采样、OpenMM 分子动力学松弛)均使用固定随机种子(seed = 42、123、2026 三组,每组独立运行,结果取一致性),并在结果输出文件名中显式记录种子值。AlphaFold2 / Multimer 的 MSA 构建因依赖外部数据库实时拉取,无法保证逐字节复现,但拟通过冻结 ColabFold 的本地 MSA 缓存版本(database snapshot 2025-03)来保证家族内可复现。所有推理任务的输入、参数、输出、运行时长、GPU 型号均写入结构化日志(JSON 格式),归档于 Gitee 仓库 logs/ 目录。</w:t>
      </w:r>
    </w:p>
    <w:p w14:paraId="723B7863">
      <w:pPr>
        <w:widowControl w:val="0"/>
        <w:numPr>
          <w:ilvl w:val="0"/>
          <w:numId w:val="0"/>
        </w:numPr>
        <w:spacing w:before="40" w:after="40"/>
        <w:rPr>
          <w:rFonts w:ascii="Times New Roman" w:hAnsi="Times New Roman" w:eastAsia="宋体" w:cs="宋体"/>
          <w:sz w:val="24"/>
          <w:szCs w:val="24"/>
        </w:rPr>
      </w:pPr>
    </w:p>
    <w:p w14:paraId="3A71203F">
      <w:pPr>
        <w:widowControl w:val="0"/>
        <w:numPr>
          <w:ilvl w:val="0"/>
          <w:numId w:val="0"/>
        </w:numPr>
        <w:spacing w:before="40" w:after="40"/>
        <w:rPr>
          <w:rFonts w:ascii="Times New Roman" w:hAnsi="Times New Roman" w:eastAsia="宋体" w:cs="宋体"/>
          <w:sz w:val="24"/>
          <w:szCs w:val="24"/>
        </w:rPr>
      </w:pPr>
      <w:r>
        <w:rPr>
          <w:rFonts w:ascii="Times New Roman" w:hAnsi="Times New Roman" w:eastAsia="宋体" w:cs="宋体"/>
          <w:sz w:val="24"/>
          <w:szCs w:val="24"/>
        </w:rPr>
        <w:t>(5)阴性结果与失败模式预案</w:t>
      </w:r>
    </w:p>
    <w:p w14:paraId="54B42A08">
      <w:pPr>
        <w:spacing w:before="40" w:after="40"/>
        <w:rPr>
          <w:rFonts w:ascii="Times New Roman" w:hAnsi="Times New Roman"/>
        </w:rPr>
      </w:pPr>
    </w:p>
    <w:p w14:paraId="0BE53996">
      <w:pPr>
        <w:spacing w:before="40" w:after="40"/>
        <w:rPr>
          <w:rFonts w:ascii="Times New Roman" w:hAnsi="Times New Roman"/>
        </w:rPr>
      </w:pPr>
    </w:p>
    <w:p w14:paraId="2D330D69">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rPr>
        <w:t xml:space="preserve">本项目明确预设可能出现的失败情形与相应处置方式,具体三类:一是 ESM-2 嵌入检索结果中 BmCBP 同源蛋白排名靠后,这种情况下回退到 </w:t>
      </w:r>
      <w:r>
        <w:rPr>
          <w:rFonts w:hint="default" w:ascii="Times New Roman" w:hAnsi="Times New Roman" w:eastAsia="宋体" w:cs="Times New Roman"/>
        </w:rPr>
        <w:t>BLAST</w:t>
      </w:r>
      <w:r>
        <w:rPr>
          <w:rFonts w:hint="eastAsia" w:ascii="Times New Roman" w:hAnsi="Times New Roman" w:eastAsia="宋体" w:cs="宋体"/>
        </w:rPr>
        <w:t xml:space="preserve"> + Pfam 域注释的传统方法做交叉验证;二是 AlphaFold-Multimer 复合物预测的 ipTM 分数 &lt; 0.5(领域内常见的可信阈值),这种情况下不强行采用,转而用 HADDOCK 做受约束对接,把预测结果定位为"参考"而非"结论";三是 ProteinMPNN 设计的变体在湿实验中无法表达或失活,这种情况下数据回流到设计环节,缩小开放位点范围或者降低突变密度,做下一轮设计。失败案例与负向结果都在最终方案书与代码仓库中如实呈现,不做选择性报告。</w:t>
      </w:r>
    </w:p>
    <w:p w14:paraId="12BE27E0">
      <w:pPr>
        <w:spacing w:before="40" w:after="40"/>
        <w:rPr>
          <w:rFonts w:hint="eastAsia" w:ascii="Times New Roman" w:hAnsi="Times New Roman" w:eastAsia="宋体" w:cs="宋体"/>
          <w:sz w:val="24"/>
          <w:szCs w:val="24"/>
          <w:lang w:val="en-US" w:eastAsia="zh-CN"/>
        </w:rPr>
      </w:pPr>
    </w:p>
    <w:p w14:paraId="0A3C14B4">
      <w:pPr>
        <w:pStyle w:val="4"/>
        <w:rPr>
          <w:rFonts w:ascii="Times New Roman" w:hAnsi="Times New Roman"/>
        </w:rPr>
      </w:pPr>
      <w:r>
        <w:rPr>
          <w:rFonts w:ascii="Times New Roman" w:hAnsi="Times New Roman"/>
        </w:rPr>
        <w:t>⑤ 评估指标与基线对比</w:t>
      </w:r>
    </w:p>
    <w:p w14:paraId="2A549A3D">
      <w:pPr>
        <w:spacing w:before="20" w:after="20"/>
        <w:rPr>
          <w:rFonts w:ascii="Times New Roman" w:hAnsi="Times New Roman"/>
        </w:rPr>
      </w:pPr>
    </w:p>
    <w:p w14:paraId="60C4537B">
      <w:pPr>
        <w:numPr>
          <w:ilvl w:val="0"/>
          <w:numId w:val="6"/>
        </w:numPr>
        <w:spacing w:before="20" w:after="20"/>
        <w:rPr>
          <w:rFonts w:ascii="Times New Roman" w:hAnsi="Times New Roman" w:eastAsia="宋体" w:cs="宋体"/>
          <w:sz w:val="24"/>
          <w:szCs w:val="24"/>
        </w:rPr>
      </w:pPr>
      <w:r>
        <w:rPr>
          <w:rFonts w:ascii="Times New Roman" w:hAnsi="Times New Roman" w:eastAsia="宋体" w:cs="宋体"/>
          <w:sz w:val="24"/>
          <w:szCs w:val="24"/>
        </w:rPr>
        <w:t>指标设计的总体逻辑</w:t>
      </w:r>
    </w:p>
    <w:p w14:paraId="7928F0D9">
      <w:pPr>
        <w:widowControl w:val="0"/>
        <w:numPr>
          <w:ilvl w:val="0"/>
          <w:numId w:val="0"/>
        </w:numPr>
        <w:spacing w:before="20" w:after="20"/>
        <w:rPr>
          <w:rFonts w:ascii="Times New Roman" w:hAnsi="Times New Roman" w:eastAsia="宋体" w:cs="宋体"/>
          <w:sz w:val="24"/>
          <w:szCs w:val="24"/>
        </w:rPr>
      </w:pPr>
    </w:p>
    <w:p w14:paraId="778A4BAA">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本项目的评估指标设计紧扣第①章提出的核心科学问题——BmCBP 在不同纺织基材上的色牢度差异机制解析与变体理性设计,因此不堆砌通用蛋白质设计领域的全部常见指标,而是按"候选挖掘、机制解析、变体设计"三个环节分别选取最能反映目标达成度的关键指标,并配合不确定性量化与基线对比方法,确保结果的可解释性与可比性。</w:t>
      </w:r>
    </w:p>
    <w:p w14:paraId="795AD1CF">
      <w:pPr>
        <w:widowControl w:val="0"/>
        <w:numPr>
          <w:ilvl w:val="0"/>
          <w:numId w:val="0"/>
        </w:numPr>
        <w:spacing w:before="20" w:after="20"/>
        <w:rPr>
          <w:rFonts w:ascii="Times New Roman" w:hAnsi="Times New Roman" w:eastAsia="宋体" w:cs="宋体"/>
          <w:sz w:val="24"/>
          <w:szCs w:val="24"/>
        </w:rPr>
      </w:pPr>
    </w:p>
    <w:p w14:paraId="0A18DD97">
      <w:pPr>
        <w:widowControl w:val="0"/>
        <w:numPr>
          <w:ilvl w:val="0"/>
          <w:numId w:val="0"/>
        </w:numPr>
        <w:spacing w:before="20" w:after="20"/>
        <w:rPr>
          <w:rFonts w:ascii="Times New Roman" w:hAnsi="Times New Roman" w:eastAsia="宋体" w:cs="宋体"/>
          <w:sz w:val="24"/>
          <w:szCs w:val="24"/>
        </w:rPr>
      </w:pPr>
      <w:r>
        <w:rPr>
          <w:rFonts w:ascii="Times New Roman" w:hAnsi="Times New Roman" w:eastAsia="宋体" w:cs="宋体"/>
          <w:sz w:val="24"/>
          <w:szCs w:val="24"/>
        </w:rPr>
        <w:t>(2)候选挖掘环节的评估指标</w:t>
      </w:r>
    </w:p>
    <w:p w14:paraId="311B52CF">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这一环节的核心问题是:ESM-2 嵌入空间检索能不能在类胡萝卜素结合蛋白家族里稳定识别功能相近的候选?评估指标采用 Top-K 召回率(Top-5、Top-10、Top-20,K 越小要求越严)和 Mean Reciprocal Rank(MRR)。前者反映已知阳性候选能否进入高优先级序列,后者反映整体排序质量。同时拟报告检索时间成本(平均每查询毫秒数),用于跟传统方法做工程可用性对比。</w:t>
      </w:r>
    </w:p>
    <w:p w14:paraId="209C46F1">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不确定性量化方面,拟采用 bootstrap 重采样(1000 次)构建 95% 置信区间,而不是只报告单点数值。</w:t>
      </w:r>
    </w:p>
    <w:p w14:paraId="51DFF925">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基线对比方面拟设置三组:</w:t>
      </w:r>
    </w:p>
    <w:p w14:paraId="47B5C1C4">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一是 BLASTp(NCBI BLAST+ v2.15.0,2024 年发布版本),作为序列相似性检索的经典基线;</w:t>
      </w:r>
    </w:p>
    <w:p w14:paraId="422B21FE">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二是 HMMER 3.4(2024 年发布版本)的 Pfam 域注释检索(Pfam-A.hmm 数据库 36.0 版),作为基于结构域的功能注释基线;</w:t>
      </w:r>
    </w:p>
    <w:p w14:paraId="5AE5F385">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三是 ProtT5-XL-U50(Elnaggar 等,IEEE TPAMI 2022,2023 年仍被广泛引用作为蛋白质语言模型对照),作为同属语言模型范式的对照基线,以隔离"语言模型范式本身"和"ESM-2 这一具体模型"的贡献。</w:t>
      </w:r>
    </w:p>
    <w:p w14:paraId="3C9C757B">
      <w:pPr>
        <w:widowControl w:val="0"/>
        <w:numPr>
          <w:ilvl w:val="0"/>
          <w:numId w:val="0"/>
        </w:numPr>
        <w:spacing w:before="20" w:after="20"/>
        <w:rPr>
          <w:rFonts w:ascii="Times New Roman" w:hAnsi="Times New Roman" w:eastAsia="宋体" w:cs="宋体"/>
          <w:sz w:val="24"/>
          <w:szCs w:val="24"/>
        </w:rPr>
      </w:pPr>
    </w:p>
    <w:p w14:paraId="4BCBFF7C">
      <w:pPr>
        <w:widowControl w:val="0"/>
        <w:numPr>
          <w:ilvl w:val="0"/>
          <w:numId w:val="0"/>
        </w:numPr>
        <w:spacing w:before="20" w:after="20"/>
        <w:rPr>
          <w:rFonts w:ascii="Times New Roman" w:hAnsi="Times New Roman" w:eastAsia="宋体" w:cs="宋体"/>
          <w:sz w:val="24"/>
          <w:szCs w:val="24"/>
        </w:rPr>
      </w:pPr>
    </w:p>
    <w:p w14:paraId="4E56541C">
      <w:pPr>
        <w:widowControl w:val="0"/>
        <w:numPr>
          <w:ilvl w:val="0"/>
          <w:numId w:val="0"/>
        </w:numPr>
        <w:spacing w:before="20" w:after="20"/>
        <w:rPr>
          <w:rFonts w:ascii="Times New Roman" w:hAnsi="Times New Roman" w:eastAsia="宋体" w:cs="宋体"/>
          <w:sz w:val="24"/>
          <w:szCs w:val="24"/>
        </w:rPr>
      </w:pPr>
      <w:r>
        <w:rPr>
          <w:rFonts w:ascii="Times New Roman" w:hAnsi="Times New Roman" w:eastAsia="宋体" w:cs="宋体"/>
          <w:sz w:val="24"/>
          <w:szCs w:val="24"/>
        </w:rPr>
        <w:t>(3)机制解析环节的评估指标</w:t>
      </w:r>
    </w:p>
    <w:p w14:paraId="46A4F79D">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这一环节的核心问题是:AlphaFold-Multimer 与 DiffDock 预测的 BmCBP–染料复合物结合模式,能不能解释前期湿实验观察到的基材选择性?评估指标分两类。</w:t>
      </w:r>
    </w:p>
    <w:p w14:paraId="060CA8CE">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第一类是结构预测自身的可信度指标:AlphaFold2/Multimer 输出的 pLDDT(每残基置信度)和 PAE(预测对齐误差),复合物预测额外报告 ipTM 与 pTM。本项目设定 pLDDT &gt; 70 与 ipTM &gt; 0.5 作为"结构可信用于下游分析"的硬阈值,低于阈值的结果不作为结论,只作为参考。</w:t>
      </w:r>
    </w:p>
    <w:p w14:paraId="6C085FAC">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第二类是预测与湿实验的一致性指标:把 AlphaFold-Multimer 预测的 BmCBP–虾青素结合化学计量比(即一个 BmCBP 单体最多能稳定锚住几个虾青素分子)与前期 OD480 滴定实验间接推算的约 2.75:1 做对比,容忍度 ± 30%;把 BmCBP 在丝素、纤维素、PET 三类表面对接的最低自由能差异(ΔΔG),跟前期色牢度实验观察到的"丝绸 &gt; 棉 ≈ 涤纶"定性排序做趋势一致性检验(Spearman 秩相关系数)。</w:t>
      </w:r>
    </w:p>
    <w:p w14:paraId="701B1244">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基线对比方面拟设置两组:</w:t>
      </w:r>
    </w:p>
    <w:p w14:paraId="27B29A14">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一是 AutoDock Vina 1.2.5(Trott &amp; Olson 2010 经典方法,2024 年仍在 PDB 对接挑战赛中作为主要基线之一),用于对比基于物理打分的传统对接;</w:t>
      </w:r>
    </w:p>
    <w:p w14:paraId="13D8BCD0">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二是 Rosetta 3.14(2024 年发布版本)的 docking_protocol,代表基于经验能量函数的高精度对接基线。</w:t>
      </w:r>
    </w:p>
    <w:p w14:paraId="50440C8C">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DiffDock 与上述两类基线在同一组 BmCBP-纤维表面对接任务上做对比,主指标是Top-1 与 Top-5 RMSD 命中率(以已发表的实验解析复合物为参照,本项目目标家族用 PDB 2E3X 与 3PRC 作为间接参照系)。</w:t>
      </w:r>
    </w:p>
    <w:p w14:paraId="457C5BF1">
      <w:pPr>
        <w:widowControl w:val="0"/>
        <w:numPr>
          <w:ilvl w:val="0"/>
          <w:numId w:val="0"/>
        </w:numPr>
        <w:spacing w:before="20" w:after="20"/>
        <w:rPr>
          <w:rFonts w:ascii="Times New Roman" w:hAnsi="Times New Roman" w:eastAsia="宋体" w:cs="宋体"/>
          <w:sz w:val="24"/>
          <w:szCs w:val="24"/>
        </w:rPr>
      </w:pPr>
    </w:p>
    <w:p w14:paraId="0BD8D6C0">
      <w:pPr>
        <w:widowControl w:val="0"/>
        <w:numPr>
          <w:ilvl w:val="0"/>
          <w:numId w:val="0"/>
        </w:numPr>
        <w:spacing w:before="20" w:after="20"/>
        <w:rPr>
          <w:rFonts w:ascii="Times New Roman" w:hAnsi="Times New Roman" w:eastAsia="宋体" w:cs="宋体"/>
          <w:sz w:val="24"/>
          <w:szCs w:val="24"/>
        </w:rPr>
      </w:pPr>
    </w:p>
    <w:p w14:paraId="5A32A772">
      <w:pPr>
        <w:widowControl w:val="0"/>
        <w:numPr>
          <w:ilvl w:val="0"/>
          <w:numId w:val="0"/>
        </w:numPr>
        <w:spacing w:before="20" w:after="20"/>
        <w:rPr>
          <w:rFonts w:ascii="Times New Roman" w:hAnsi="Times New Roman" w:eastAsia="宋体" w:cs="宋体"/>
          <w:sz w:val="24"/>
          <w:szCs w:val="24"/>
        </w:rPr>
      </w:pPr>
      <w:r>
        <w:rPr>
          <w:rFonts w:ascii="Times New Roman" w:hAnsi="Times New Roman" w:eastAsia="宋体" w:cs="宋体"/>
          <w:sz w:val="24"/>
          <w:szCs w:val="24"/>
        </w:rPr>
        <w:t>(4)变体设计环节的评估指标</w:t>
      </w:r>
    </w:p>
    <w:p w14:paraId="11C3A788">
      <w:pPr>
        <w:widowControl w:val="0"/>
        <w:numPr>
          <w:ilvl w:val="0"/>
          <w:numId w:val="0"/>
        </w:numPr>
        <w:spacing w:before="20" w:after="20"/>
        <w:rPr>
          <w:rFonts w:ascii="Times New Roman" w:hAnsi="Times New Roman" w:eastAsia="宋体" w:cs="宋体"/>
          <w:sz w:val="24"/>
          <w:szCs w:val="24"/>
        </w:rPr>
      </w:pPr>
    </w:p>
    <w:p w14:paraId="35F8A0FB">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这一环节的核心问题是:ProteinMPNN 与 ESM-IF1 设计的 BmCBP 变体,能不能在保持折叠稳定性的同时,提升在棉与涤纶基材上的预测结合能?评估指标分三层。</w:t>
      </w:r>
    </w:p>
    <w:p w14:paraId="097DEF53">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第一层结构稳定性:设计变体反向折叠后,跟野生型 BmCBP 骨架的 TM-score(目标 &gt; 0.9)与 RMSD(目标 &lt; 2.0 Å),以及全长平均 pLDDT(目标 &gt; 70)。</w:t>
      </w:r>
    </w:p>
    <w:p w14:paraId="1891A884">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第二层预测结合能改善:在棉(纤维素)与涤纶(PET)表面对接打分上,变体相对野生型的 ΔΔG(目标 &lt; −1.0 kcal/mol,即显著负值表示结合改善),并报告 95% 置信区间。</w:t>
      </w:r>
    </w:p>
    <w:p w14:paraId="1F7A73BE">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第三层多样性与可制造性:设计候选库的序列多样性(按 Shannon 熵衡量)与突变密度(相对野生型的氨基酸替换比例,目标 &lt; 15%,避免过度改造导致表达失败),后者直接影响下游湿实验可行性。</w:t>
      </w:r>
    </w:p>
    <w:p w14:paraId="03D8FA98">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基线对比方面拟设置两组:</w:t>
      </w:r>
    </w:p>
    <w:p w14:paraId="4EAAAC19">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一是 野生型 BmCBP 在同样对接流程下的结合能,作为"无设计"基线;</w:t>
      </w:r>
    </w:p>
    <w:p w14:paraId="256192D7">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二是 Rosetta FastDesign(2024 年发布版本)在同样位点开放约束下生成的候选,作为基于经验能量函数的设计基线。</w:t>
      </w:r>
    </w:p>
    <w:p w14:paraId="0AADDE05">
      <w:pPr>
        <w:spacing w:before="100" w:after="100" w:line="380" w:lineRule="auto"/>
        <w:jc w:val="both"/>
        <w:rPr>
          <w:rFonts w:ascii="Times New Roman" w:hAnsi="Times New Roman"/>
        </w:rPr>
      </w:pPr>
      <w:r>
        <w:rPr>
          <w:rFonts w:ascii="Times New Roman" w:hAnsi="Times New Roman"/>
          <w:b/>
          <w:bCs/>
          <w:color w:val="1F1F1F"/>
        </w:rPr>
        <w:t>基线模型清单：</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6"/>
        <w:gridCol w:w="1679"/>
        <w:gridCol w:w="1640"/>
        <w:gridCol w:w="4197"/>
        <w:gridCol w:w="1368"/>
      </w:tblGrid>
      <w:tr w14:paraId="565B5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4B2B20B6">
            <w:pPr>
              <w:jc w:val="center"/>
              <w:rPr>
                <w:rFonts w:hint="default" w:ascii="Times New Roman" w:hAnsi="Times New Roman" w:cs="Times New Roman"/>
              </w:rPr>
            </w:pPr>
            <w:r>
              <w:rPr>
                <w:rFonts w:hint="default" w:ascii="Times New Roman" w:hAnsi="Times New Roman" w:cs="Times New Roman"/>
                <w:b/>
                <w:bCs/>
                <w:color w:val="FFFFFF"/>
              </w:rPr>
              <w:t>#</w:t>
            </w:r>
          </w:p>
        </w:tc>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5092B71D">
            <w:pPr>
              <w:jc w:val="center"/>
              <w:rPr>
                <w:rFonts w:hint="default" w:ascii="Times New Roman" w:hAnsi="Times New Roman" w:cs="Times New Roman"/>
              </w:rPr>
            </w:pPr>
            <w:r>
              <w:rPr>
                <w:rFonts w:hint="default" w:ascii="Times New Roman" w:hAnsi="Times New Roman" w:cs="Times New Roman"/>
                <w:b/>
                <w:bCs/>
                <w:color w:val="FFFFFF"/>
              </w:rPr>
              <w:t>模型名称</w:t>
            </w:r>
          </w:p>
        </w:tc>
        <w:tc>
          <w:tcPr>
            <w:tcW w:w="16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2787BAF0">
            <w:pPr>
              <w:jc w:val="center"/>
              <w:rPr>
                <w:rFonts w:hint="default" w:ascii="Times New Roman" w:hAnsi="Times New Roman" w:cs="Times New Roman"/>
              </w:rPr>
            </w:pPr>
            <w:r>
              <w:rPr>
                <w:rFonts w:hint="default" w:ascii="Times New Roman" w:hAnsi="Times New Roman" w:cs="Times New Roman"/>
                <w:b/>
                <w:bCs/>
                <w:color w:val="FFFFFF"/>
              </w:rPr>
              <w:t>版本 / 年份</w:t>
            </w:r>
          </w:p>
        </w:tc>
        <w:tc>
          <w:tcPr>
            <w:tcW w:w="236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1D1B5624">
            <w:pPr>
              <w:jc w:val="center"/>
              <w:rPr>
                <w:rFonts w:hint="default" w:ascii="Times New Roman" w:hAnsi="Times New Roman" w:cs="Times New Roman"/>
              </w:rPr>
            </w:pPr>
            <w:r>
              <w:rPr>
                <w:rFonts w:hint="default" w:ascii="Times New Roman" w:hAnsi="Times New Roman" w:cs="Times New Roman"/>
                <w:b/>
                <w:bCs/>
                <w:color w:val="FFFFFF"/>
              </w:rPr>
              <w:t>来源链接</w:t>
            </w:r>
          </w:p>
        </w:tc>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3CC46B76">
            <w:pPr>
              <w:jc w:val="center"/>
              <w:rPr>
                <w:rFonts w:hint="default" w:ascii="Times New Roman" w:hAnsi="Times New Roman" w:cs="Times New Roman"/>
              </w:rPr>
            </w:pPr>
            <w:r>
              <w:rPr>
                <w:rFonts w:hint="default" w:ascii="Times New Roman" w:hAnsi="Times New Roman" w:cs="Times New Roman"/>
                <w:b/>
                <w:bCs/>
                <w:color w:val="FFFFFF"/>
              </w:rPr>
              <w:t>选择理由</w:t>
            </w:r>
          </w:p>
        </w:tc>
      </w:tr>
      <w:tr w14:paraId="418E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0892BFDD">
            <w:pPr>
              <w:spacing w:line="320" w:lineRule="auto"/>
              <w:rPr>
                <w:rFonts w:hint="default" w:ascii="Times New Roman" w:hAnsi="Times New Roman" w:cs="Times New Roman"/>
              </w:rPr>
            </w:pPr>
            <w:r>
              <w:rPr>
                <w:rFonts w:hint="default" w:ascii="Times New Roman" w:hAnsi="Times New Roman" w:cs="Times New Roman"/>
                <w:color w:val="1F1F1F"/>
              </w:rPr>
              <w:t>1</w:t>
            </w:r>
          </w:p>
        </w:tc>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00D744F3">
            <w:pPr>
              <w:spacing w:line="320" w:lineRule="auto"/>
              <w:rPr>
                <w:rFonts w:hint="default" w:ascii="Times New Roman" w:hAnsi="Times New Roman" w:cs="Times New Roman"/>
              </w:rPr>
            </w:pPr>
            <w:r>
              <w:rPr>
                <w:rFonts w:hint="default" w:ascii="Times New Roman" w:hAnsi="Times New Roman" w:cs="Times New Roman"/>
                <w:color w:val="1F1F1F"/>
              </w:rPr>
              <w:t xml:space="preserve"> </w:t>
            </w:r>
            <w:r>
              <w:rPr>
                <w:rFonts w:hint="default" w:ascii="Times New Roman" w:hAnsi="Times New Roman" w:eastAsia="宋体" w:cs="Times New Roman"/>
                <w:sz w:val="24"/>
                <w:szCs w:val="24"/>
              </w:rPr>
              <w:t>BLASTp</w:t>
            </w:r>
          </w:p>
        </w:tc>
        <w:tc>
          <w:tcPr>
            <w:tcW w:w="1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D7CD293">
            <w:pPr>
              <w:spacing w:line="320" w:lineRule="auto"/>
              <w:rPr>
                <w:rFonts w:hint="default" w:ascii="Times New Roman" w:hAnsi="Times New Roman" w:cs="Times New Roman"/>
              </w:rPr>
            </w:pPr>
            <w:r>
              <w:rPr>
                <w:rFonts w:hint="default" w:ascii="Times New Roman" w:hAnsi="Times New Roman" w:cs="Times New Roman"/>
                <w:color w:val="1F1F1F"/>
              </w:rPr>
              <w:t xml:space="preserve"> </w:t>
            </w:r>
            <w:r>
              <w:rPr>
                <w:rFonts w:hint="default" w:ascii="Times New Roman" w:hAnsi="Times New Roman" w:eastAsia="宋体" w:cs="Times New Roman"/>
                <w:sz w:val="24"/>
                <w:szCs w:val="24"/>
              </w:rPr>
              <w:t>NCBI BLAST+ v2.15.0(2024)</w:t>
            </w:r>
          </w:p>
        </w:tc>
        <w:tc>
          <w:tcPr>
            <w:tcW w:w="2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8A7495E">
            <w:pPr>
              <w:spacing w:line="320" w:lineRule="auto"/>
              <w:rPr>
                <w:rFonts w:hint="default" w:ascii="Times New Roman" w:hAnsi="Times New Roman" w:cs="Times New Roman"/>
              </w:rPr>
            </w:pPr>
            <w:r>
              <w:rPr>
                <w:rFonts w:hint="default" w:ascii="Times New Roman" w:hAnsi="Times New Roman" w:cs="Times New Roman"/>
                <w:color w:val="1F1F1F"/>
              </w:rPr>
              <w:t xml:space="preserve"> </w:t>
            </w:r>
            <w:r>
              <w:rPr>
                <w:rFonts w:hint="default" w:ascii="Times New Roman" w:hAnsi="Times New Roman" w:eastAsia="宋体" w:cs="Times New Roman"/>
                <w:sz w:val="24"/>
                <w:szCs w:val="24"/>
              </w:rPr>
              <w:t>ftp.ncbi.nlm.nih.gov/blast/</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64B652AB">
            <w:pPr>
              <w:spacing w:line="320" w:lineRule="auto"/>
              <w:rPr>
                <w:rFonts w:hint="default" w:ascii="Times New Roman" w:hAnsi="Times New Roman" w:cs="Times New Roman"/>
              </w:rPr>
            </w:pPr>
            <w:r>
              <w:rPr>
                <w:rFonts w:hint="default" w:ascii="Times New Roman" w:hAnsi="Times New Roman" w:cs="Times New Roman"/>
                <w:color w:val="1F1F1F"/>
              </w:rPr>
              <w:t xml:space="preserve"> </w:t>
            </w:r>
            <w:r>
              <w:rPr>
                <w:rFonts w:hint="default" w:ascii="Times New Roman" w:hAnsi="Times New Roman" w:eastAsia="宋体" w:cs="Times New Roman"/>
                <w:sz w:val="24"/>
                <w:szCs w:val="24"/>
              </w:rPr>
              <w:t>序列相似性检索经典基线</w:t>
            </w:r>
          </w:p>
        </w:tc>
      </w:tr>
      <w:tr w14:paraId="2476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0D3EBE99">
            <w:pPr>
              <w:spacing w:line="320" w:lineRule="auto"/>
              <w:rPr>
                <w:rFonts w:hint="default" w:ascii="Times New Roman" w:hAnsi="Times New Roman" w:cs="Times New Roman"/>
              </w:rPr>
            </w:pPr>
            <w:r>
              <w:rPr>
                <w:rFonts w:hint="default" w:ascii="Times New Roman" w:hAnsi="Times New Roman" w:cs="Times New Roman"/>
                <w:color w:val="1F1F1F"/>
              </w:rPr>
              <w:t>2</w:t>
            </w:r>
          </w:p>
        </w:tc>
        <w:tc>
          <w:tcPr>
            <w:tcW w:w="22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3B22AFAD">
            <w:pPr>
              <w:spacing w:line="320" w:lineRule="auto"/>
              <w:rPr>
                <w:rFonts w:hint="default" w:ascii="Times New Roman" w:hAnsi="Times New Roman" w:cs="Times New Roman"/>
              </w:rPr>
            </w:pPr>
            <w:r>
              <w:rPr>
                <w:rFonts w:hint="default" w:ascii="Times New Roman" w:hAnsi="Times New Roman" w:cs="Times New Roman"/>
                <w:color w:val="1F1F1F"/>
              </w:rPr>
              <w:t xml:space="preserve"> </w:t>
            </w:r>
            <w:r>
              <w:rPr>
                <w:rFonts w:hint="default" w:ascii="Times New Roman" w:hAnsi="Times New Roman" w:eastAsia="宋体" w:cs="Times New Roman"/>
                <w:sz w:val="24"/>
                <w:szCs w:val="24"/>
              </w:rPr>
              <w:t>HMMER + Pfam</w:t>
            </w:r>
          </w:p>
        </w:tc>
        <w:tc>
          <w:tcPr>
            <w:tcW w:w="16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3CBA4D40">
            <w:pPr>
              <w:spacing w:line="320" w:lineRule="auto"/>
              <w:rPr>
                <w:rFonts w:hint="default" w:ascii="Times New Roman" w:hAnsi="Times New Roman" w:cs="Times New Roman"/>
              </w:rPr>
            </w:pPr>
            <w:r>
              <w:rPr>
                <w:rFonts w:hint="default" w:ascii="Times New Roman" w:hAnsi="Times New Roman" w:cs="Times New Roman"/>
                <w:color w:val="1F1F1F"/>
              </w:rPr>
              <w:t xml:space="preserve"> </w:t>
            </w:r>
            <w:r>
              <w:rPr>
                <w:rFonts w:hint="default" w:ascii="Times New Roman" w:hAnsi="Times New Roman" w:eastAsia="宋体" w:cs="Times New Roman"/>
                <w:sz w:val="24"/>
                <w:szCs w:val="24"/>
              </w:rPr>
              <w:t>HMMER 3.4(2024)+ Pfam-A.hmm v36.0(2024)</w:t>
            </w:r>
          </w:p>
        </w:tc>
        <w:tc>
          <w:tcPr>
            <w:tcW w:w="23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52325C14">
            <w:pPr>
              <w:spacing w:line="320" w:lineRule="auto"/>
              <w:rPr>
                <w:rFonts w:hint="default" w:ascii="Times New Roman" w:hAnsi="Times New Roman" w:cs="Times New Roman"/>
              </w:rPr>
            </w:pPr>
            <w:r>
              <w:rPr>
                <w:rFonts w:hint="default" w:ascii="Times New Roman" w:hAnsi="Times New Roman" w:cs="Times New Roman"/>
                <w:color w:val="1F1F1F"/>
              </w:rPr>
              <w:t xml:space="preserve"> </w:t>
            </w:r>
            <w:r>
              <w:rPr>
                <w:rFonts w:hint="default" w:ascii="Times New Roman" w:hAnsi="Times New Roman" w:eastAsia="宋体" w:cs="Times New Roman"/>
                <w:sz w:val="24"/>
                <w:szCs w:val="24"/>
              </w:rPr>
              <w:t>hmmer.org / pfam.xfam.org</w:t>
            </w:r>
          </w:p>
        </w:tc>
        <w:tc>
          <w:tcPr>
            <w:tcW w:w="26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71033E35">
            <w:pPr>
              <w:spacing w:line="320" w:lineRule="auto"/>
              <w:rPr>
                <w:rFonts w:hint="default" w:ascii="Times New Roman" w:hAnsi="Times New Roman" w:cs="Times New Roman"/>
              </w:rPr>
            </w:pPr>
            <w:r>
              <w:rPr>
                <w:rFonts w:hint="default" w:ascii="Times New Roman" w:hAnsi="Times New Roman" w:cs="Times New Roman"/>
                <w:color w:val="1F1F1F"/>
              </w:rPr>
              <w:t xml:space="preserve"> </w:t>
            </w:r>
            <w:r>
              <w:rPr>
                <w:rFonts w:hint="default" w:ascii="Times New Roman" w:hAnsi="Times New Roman" w:eastAsia="宋体" w:cs="Times New Roman"/>
                <w:sz w:val="24"/>
                <w:szCs w:val="24"/>
              </w:rPr>
              <w:t>结构域注释基线</w:t>
            </w:r>
          </w:p>
        </w:tc>
      </w:tr>
      <w:tr w14:paraId="0866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7041B021">
            <w:pPr>
              <w:spacing w:line="320" w:lineRule="auto"/>
              <w:rPr>
                <w:rFonts w:hint="default" w:ascii="Times New Roman" w:hAnsi="Times New Roman" w:cs="Times New Roman"/>
              </w:rPr>
            </w:pPr>
            <w:r>
              <w:rPr>
                <w:rFonts w:hint="default" w:ascii="Times New Roman" w:hAnsi="Times New Roman" w:cs="Times New Roman"/>
                <w:color w:val="1F1F1F"/>
              </w:rPr>
              <w:t>3</w:t>
            </w:r>
          </w:p>
        </w:tc>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230EDA7A">
            <w:pPr>
              <w:spacing w:line="320" w:lineRule="auto"/>
              <w:rPr>
                <w:rFonts w:hint="default" w:ascii="Times New Roman" w:hAnsi="Times New Roman" w:cs="Times New Roman"/>
              </w:rPr>
            </w:pPr>
            <w:r>
              <w:rPr>
                <w:rFonts w:hint="default" w:ascii="Times New Roman" w:hAnsi="Times New Roman" w:cs="Times New Roman"/>
                <w:color w:val="1F1F1F"/>
              </w:rPr>
              <w:t xml:space="preserve"> </w:t>
            </w:r>
            <w:r>
              <w:rPr>
                <w:rFonts w:hint="default" w:ascii="Times New Roman" w:hAnsi="Times New Roman" w:eastAsia="宋体" w:cs="Times New Roman"/>
                <w:sz w:val="24"/>
                <w:szCs w:val="24"/>
              </w:rPr>
              <w:t>ProtT5-XL-U50</w:t>
            </w:r>
          </w:p>
        </w:tc>
        <w:tc>
          <w:tcPr>
            <w:tcW w:w="1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0BE030CC">
            <w:pPr>
              <w:spacing w:line="320" w:lineRule="auto"/>
              <w:rPr>
                <w:rFonts w:hint="default" w:ascii="Times New Roman" w:hAnsi="Times New Roman" w:cs="Times New Roman"/>
              </w:rPr>
            </w:pPr>
            <w:r>
              <w:rPr>
                <w:rFonts w:hint="default" w:ascii="Times New Roman" w:hAnsi="Times New Roman" w:cs="Times New Roman"/>
                <w:color w:val="1F1F1F"/>
              </w:rPr>
              <w:t xml:space="preserve"> </w:t>
            </w:r>
            <w:r>
              <w:rPr>
                <w:rFonts w:hint="default" w:ascii="Times New Roman" w:hAnsi="Times New Roman" w:eastAsia="宋体" w:cs="Times New Roman"/>
                <w:sz w:val="24"/>
                <w:szCs w:val="24"/>
              </w:rPr>
              <w:t>U50Elnaggar 2022,2023+ 持续引用</w:t>
            </w:r>
          </w:p>
        </w:tc>
        <w:tc>
          <w:tcPr>
            <w:tcW w:w="2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32BCB79C">
            <w:pPr>
              <w:spacing w:line="320" w:lineRule="auto"/>
              <w:rPr>
                <w:rFonts w:hint="default" w:ascii="Times New Roman" w:hAnsi="Times New Roman" w:cs="Times New Roman"/>
              </w:rPr>
            </w:pPr>
            <w:r>
              <w:rPr>
                <w:rFonts w:hint="default" w:ascii="Times New Roman" w:hAnsi="Times New Roman" w:cs="Times New Roman"/>
                <w:color w:val="1F1F1F"/>
              </w:rPr>
              <w:t xml:space="preserve"> huggingface.co/Rostlab/prot_t5_xl_uniref50</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0CDCA9AD">
            <w:pPr>
              <w:spacing w:line="320" w:lineRule="auto"/>
              <w:rPr>
                <w:rFonts w:hint="default" w:ascii="Times New Roman" w:hAnsi="Times New Roman" w:cs="Times New Roman"/>
              </w:rPr>
            </w:pPr>
            <w:r>
              <w:rPr>
                <w:rFonts w:hint="default" w:ascii="Times New Roman" w:hAnsi="Times New Roman" w:cs="Times New Roman"/>
                <w:color w:val="1F1F1F"/>
              </w:rPr>
              <w:t xml:space="preserve"> </w:t>
            </w:r>
            <w:r>
              <w:rPr>
                <w:rFonts w:hint="default" w:ascii="Times New Roman" w:hAnsi="Times New Roman" w:eastAsia="宋体" w:cs="Times New Roman"/>
                <w:sz w:val="24"/>
                <w:szCs w:val="24"/>
              </w:rPr>
              <w:t>同范式语言模型对照</w:t>
            </w:r>
          </w:p>
        </w:tc>
      </w:tr>
      <w:tr w14:paraId="6AC2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4EEB71AA">
            <w:pPr>
              <w:spacing w:line="320" w:lineRule="auto"/>
              <w:rPr>
                <w:rFonts w:hint="default" w:ascii="Times New Roman" w:hAnsi="Times New Roman" w:eastAsia="宋体" w:cs="Times New Roman"/>
                <w:color w:val="1F1F1F"/>
                <w:lang w:val="en-US" w:eastAsia="zh-CN"/>
              </w:rPr>
            </w:pPr>
            <w:r>
              <w:rPr>
                <w:rFonts w:hint="default" w:ascii="Times New Roman" w:hAnsi="Times New Roman" w:cs="Times New Roman"/>
                <w:color w:val="1F1F1F"/>
                <w:lang w:val="en-US" w:eastAsia="zh-CN"/>
              </w:rPr>
              <w:t>4</w:t>
            </w:r>
          </w:p>
        </w:tc>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E3CAC55">
            <w:pPr>
              <w:spacing w:line="320" w:lineRule="auto"/>
              <w:rPr>
                <w:rFonts w:hint="default" w:ascii="Times New Roman" w:hAnsi="Times New Roman" w:cs="Times New Roman"/>
                <w:color w:val="1F1F1F"/>
              </w:rPr>
            </w:pPr>
            <w:r>
              <w:rPr>
                <w:rFonts w:hint="default" w:ascii="Times New Roman" w:hAnsi="Times New Roman" w:eastAsia="宋体" w:cs="Times New Roman"/>
                <w:sz w:val="24"/>
                <w:szCs w:val="24"/>
              </w:rPr>
              <w:t>AutoDock Vina</w:t>
            </w:r>
          </w:p>
        </w:tc>
        <w:tc>
          <w:tcPr>
            <w:tcW w:w="1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13F3713">
            <w:pPr>
              <w:spacing w:line="320" w:lineRule="auto"/>
              <w:rPr>
                <w:rFonts w:hint="default" w:ascii="Times New Roman" w:hAnsi="Times New Roman" w:cs="Times New Roman"/>
                <w:color w:val="1F1F1F"/>
              </w:rPr>
            </w:pPr>
            <w:r>
              <w:rPr>
                <w:rFonts w:hint="default" w:ascii="Times New Roman" w:hAnsi="Times New Roman" w:eastAsia="宋体" w:cs="Times New Roman"/>
                <w:sz w:val="24"/>
                <w:szCs w:val="24"/>
              </w:rPr>
              <w:t>v1.2.5(2024)</w:t>
            </w:r>
          </w:p>
        </w:tc>
        <w:tc>
          <w:tcPr>
            <w:tcW w:w="2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5B46003">
            <w:pPr>
              <w:spacing w:line="320" w:lineRule="auto"/>
              <w:rPr>
                <w:rFonts w:hint="default" w:ascii="Times New Roman" w:hAnsi="Times New Roman" w:cs="Times New Roman"/>
                <w:color w:val="1F1F1F"/>
              </w:rPr>
            </w:pPr>
            <w:r>
              <w:rPr>
                <w:rFonts w:hint="default" w:ascii="Times New Roman" w:hAnsi="Times New Roman" w:eastAsia="宋体" w:cs="Times New Roman"/>
                <w:sz w:val="24"/>
                <w:szCs w:val="24"/>
              </w:rPr>
              <w:t>vina.scripps.edu</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4829E01">
            <w:pPr>
              <w:spacing w:line="320" w:lineRule="auto"/>
              <w:rPr>
                <w:rFonts w:hint="default" w:ascii="Times New Roman" w:hAnsi="Times New Roman" w:cs="Times New Roman"/>
                <w:color w:val="1F1F1F"/>
              </w:rPr>
            </w:pPr>
            <w:r>
              <w:rPr>
                <w:rFonts w:hint="default" w:ascii="Times New Roman" w:hAnsi="Times New Roman" w:eastAsia="宋体" w:cs="Times New Roman"/>
                <w:sz w:val="24"/>
                <w:szCs w:val="24"/>
              </w:rPr>
              <w:t>物理打分对接基线</w:t>
            </w:r>
          </w:p>
        </w:tc>
      </w:tr>
      <w:tr w14:paraId="65E0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3E7B1066">
            <w:pPr>
              <w:spacing w:line="320" w:lineRule="auto"/>
              <w:rPr>
                <w:rFonts w:hint="default" w:ascii="Times New Roman" w:hAnsi="Times New Roman" w:eastAsia="宋体" w:cs="Times New Roman"/>
                <w:color w:val="1F1F1F"/>
                <w:lang w:val="en-US" w:eastAsia="zh-CN"/>
              </w:rPr>
            </w:pPr>
            <w:r>
              <w:rPr>
                <w:rFonts w:hint="default" w:ascii="Times New Roman" w:hAnsi="Times New Roman" w:cs="Times New Roman"/>
                <w:color w:val="1F1F1F"/>
                <w:lang w:val="en-US" w:eastAsia="zh-CN"/>
              </w:rPr>
              <w:t>5</w:t>
            </w:r>
          </w:p>
        </w:tc>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26CD012">
            <w:pPr>
              <w:spacing w:line="320" w:lineRule="auto"/>
              <w:rPr>
                <w:rFonts w:hint="default" w:ascii="Times New Roman" w:hAnsi="Times New Roman" w:cs="Times New Roman"/>
                <w:color w:val="1F1F1F"/>
              </w:rPr>
            </w:pPr>
            <w:r>
              <w:rPr>
                <w:rFonts w:hint="default" w:ascii="Times New Roman" w:hAnsi="Times New Roman" w:eastAsia="宋体" w:cs="Times New Roman"/>
                <w:sz w:val="24"/>
                <w:szCs w:val="24"/>
              </w:rPr>
              <w:t>Rosetta(对接 + 设计)</w:t>
            </w:r>
          </w:p>
        </w:tc>
        <w:tc>
          <w:tcPr>
            <w:tcW w:w="1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9F0FB65">
            <w:pPr>
              <w:spacing w:line="320" w:lineRule="auto"/>
              <w:rPr>
                <w:rFonts w:hint="default" w:ascii="Times New Roman" w:hAnsi="Times New Roman" w:cs="Times New Roman"/>
                <w:color w:val="1F1F1F"/>
              </w:rPr>
            </w:pPr>
            <w:r>
              <w:rPr>
                <w:rFonts w:hint="default" w:ascii="Times New Roman" w:hAnsi="Times New Roman" w:eastAsia="宋体" w:cs="Times New Roman"/>
                <w:sz w:val="24"/>
                <w:szCs w:val="24"/>
              </w:rPr>
              <w:t>v3.14(2024)</w:t>
            </w:r>
          </w:p>
        </w:tc>
        <w:tc>
          <w:tcPr>
            <w:tcW w:w="2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29A30029">
            <w:pPr>
              <w:spacing w:line="320" w:lineRule="auto"/>
              <w:rPr>
                <w:rFonts w:hint="default" w:ascii="Times New Roman" w:hAnsi="Times New Roman" w:cs="Times New Roman"/>
                <w:color w:val="1F1F1F"/>
              </w:rPr>
            </w:pPr>
            <w:r>
              <w:rPr>
                <w:rFonts w:hint="default" w:ascii="Times New Roman" w:hAnsi="Times New Roman" w:eastAsia="宋体" w:cs="Times New Roman"/>
                <w:sz w:val="24"/>
                <w:szCs w:val="24"/>
              </w:rPr>
              <w:t>rosettacommons.org</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239ABD5C">
            <w:pPr>
              <w:spacing w:line="320" w:lineRule="auto"/>
              <w:rPr>
                <w:rFonts w:hint="default" w:ascii="Times New Roman" w:hAnsi="Times New Roman" w:cs="Times New Roman"/>
                <w:color w:val="1F1F1F"/>
              </w:rPr>
            </w:pPr>
            <w:r>
              <w:rPr>
                <w:rFonts w:hint="default" w:ascii="Times New Roman" w:hAnsi="Times New Roman" w:eastAsia="宋体" w:cs="Times New Roman"/>
                <w:sz w:val="24"/>
                <w:szCs w:val="24"/>
              </w:rPr>
              <w:t>经验能量函数高精度基线</w:t>
            </w:r>
          </w:p>
        </w:tc>
      </w:tr>
    </w:tbl>
    <w:p w14:paraId="0D23174F">
      <w:pPr>
        <w:spacing w:before="40" w:after="40"/>
        <w:rPr>
          <w:rFonts w:ascii="Times New Roman" w:hAnsi="Times New Roman"/>
        </w:rPr>
      </w:pPr>
    </w:p>
    <w:p w14:paraId="3A2A9F1F">
      <w:pPr>
        <w:pStyle w:val="4"/>
        <w:rPr>
          <w:rFonts w:ascii="Times New Roman" w:hAnsi="Times New Roman"/>
        </w:rPr>
      </w:pPr>
      <w:r>
        <w:rPr>
          <w:rFonts w:ascii="Times New Roman" w:hAnsi="Times New Roman"/>
        </w:rPr>
        <w:t>⑥ 可验证性保障</w:t>
      </w:r>
    </w:p>
    <w:p w14:paraId="4DE8E810">
      <w:pPr>
        <w:spacing w:before="40" w:after="40"/>
        <w:rPr>
          <w:rFonts w:ascii="Times New Roman" w:hAnsi="Times New Roman"/>
        </w:rPr>
      </w:pPr>
    </w:p>
    <w:p w14:paraId="74D042F3">
      <w:pPr>
        <w:spacing w:before="40" w:after="40"/>
        <w:rPr>
          <w:rFonts w:ascii="宋体" w:hAnsi="宋体" w:eastAsia="宋体" w:cs="宋体"/>
          <w:sz w:val="24"/>
          <w:szCs w:val="24"/>
        </w:rPr>
      </w:pPr>
      <w:r>
        <w:rPr>
          <w:rFonts w:ascii="宋体" w:hAnsi="宋体" w:eastAsia="宋体" w:cs="宋体"/>
          <w:sz w:val="24"/>
          <w:szCs w:val="24"/>
        </w:rPr>
        <w:t>(1)代码托管位置</w:t>
      </w:r>
    </w:p>
    <w:p w14:paraId="0036137A">
      <w:pPr>
        <w:spacing w:before="40" w:after="40"/>
        <w:rPr>
          <w:rFonts w:ascii="宋体" w:hAnsi="宋体" w:eastAsia="宋体" w:cs="宋体"/>
          <w:sz w:val="24"/>
          <w:szCs w:val="24"/>
        </w:rPr>
      </w:pPr>
    </w:p>
    <w:p w14:paraId="615BD7BE">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本项目所有代码、配置、运行脚本、推理日志、派生数据均托管于大赛官方指定的 Gitee 代码仓库,仓库地址待组委会分配后填入(预占位:https://gitee.com/{org}/bit-china-fabric-ai)。仓库采用单一主分支(main)开发,关键节点打 tag(v1.0 对应 5 月 31 日方案书提交版本,后续按 v1.1、v1.2 递进)。所有外部贡献和重要修改通过 Pull Request 走两人复核流程,Pull Request 模板里强制要求填写"改动摘要、影响范围、复现命令"三栏。仓库设置 .gitignore 排除大文件,真正的大体积派生数据(AlphaFold 预测的 PDB 文件、ESM-2 嵌入向量等)通过 Git LFS 单独跟踪。</w:t>
      </w:r>
    </w:p>
    <w:p w14:paraId="0315D9C6">
      <w:pPr>
        <w:spacing w:before="40" w:after="40"/>
        <w:rPr>
          <w:rFonts w:ascii="宋体" w:hAnsi="宋体" w:eastAsia="宋体" w:cs="宋体"/>
          <w:sz w:val="24"/>
          <w:szCs w:val="24"/>
        </w:rPr>
      </w:pPr>
    </w:p>
    <w:p w14:paraId="201CDDB9">
      <w:pPr>
        <w:spacing w:before="40" w:after="40"/>
        <w:rPr>
          <w:rFonts w:ascii="宋体" w:hAnsi="宋体" w:eastAsia="宋体" w:cs="宋体"/>
          <w:sz w:val="24"/>
          <w:szCs w:val="24"/>
        </w:rPr>
      </w:pPr>
      <w:r>
        <w:rPr>
          <w:rFonts w:ascii="宋体" w:hAnsi="宋体" w:eastAsia="宋体" w:cs="宋体"/>
          <w:sz w:val="24"/>
          <w:szCs w:val="24"/>
        </w:rPr>
        <w:t>(2)仓库目录结构</w:t>
      </w:r>
    </w:p>
    <w:p w14:paraId="22E2A6A8">
      <w:pPr>
        <w:spacing w:before="40" w:after="40"/>
        <w:rPr>
          <w:rFonts w:ascii="宋体" w:hAnsi="宋体" w:eastAsia="宋体" w:cs="宋体"/>
          <w:sz w:val="24"/>
          <w:szCs w:val="24"/>
        </w:rPr>
      </w:pPr>
    </w:p>
    <w:p w14:paraId="7FF2F2D8">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仓库目录结构按功能域划分,跟第②章到第⑤章的模块一一对应:code/embedding/ 存放 ESM-2 嵌入与检索脚本,code/structure/ 存放 AlphaFold2/Multimer 调用与结构后处理脚本,code/design/ 存放 ProteinMPNN 与 ESM-IF1 调用脚本,code/docking/ 存放 DiffDock、HADDOCK、AutoDock Vina、Rosetta 对接脚本,code/eval/ 存放评估指标计算与基线对比脚本。data_raw/ 存放原始数据集(只读,带 SHA-256 校验),data_derived/ 存放派生数据,logs/ 存放结构化运行日志,results/ 存放每次实验的最终结果与图表,failed_cases/ 存放阴性结果与失败案例,docs/ 存放方案书、安全审批表与补充说明文档。</w:t>
      </w:r>
    </w:p>
    <w:p w14:paraId="156A2636">
      <w:pPr>
        <w:spacing w:before="40" w:after="40"/>
        <w:rPr>
          <w:rFonts w:ascii="宋体" w:hAnsi="宋体" w:eastAsia="宋体" w:cs="宋体"/>
          <w:sz w:val="24"/>
          <w:szCs w:val="24"/>
        </w:rPr>
      </w:pPr>
    </w:p>
    <w:p w14:paraId="0A8A6253">
      <w:pPr>
        <w:spacing w:before="40" w:after="40"/>
        <w:rPr>
          <w:rFonts w:ascii="宋体" w:hAnsi="宋体" w:eastAsia="宋体" w:cs="宋体"/>
          <w:sz w:val="24"/>
          <w:szCs w:val="24"/>
        </w:rPr>
      </w:pPr>
      <w:r>
        <w:rPr>
          <w:rFonts w:ascii="宋体" w:hAnsi="宋体" w:eastAsia="宋体" w:cs="宋体"/>
          <w:sz w:val="24"/>
          <w:szCs w:val="24"/>
        </w:rPr>
        <w:t>(3)README 与环境配置完成度</w:t>
      </w:r>
    </w:p>
    <w:p w14:paraId="28D31510">
      <w:pPr>
        <w:spacing w:before="40" w:after="40"/>
        <w:rPr>
          <w:rFonts w:ascii="宋体" w:hAnsi="宋体" w:eastAsia="宋体" w:cs="宋体"/>
          <w:sz w:val="24"/>
          <w:szCs w:val="24"/>
        </w:rPr>
      </w:pPr>
    </w:p>
    <w:p w14:paraId="23D77E93">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仓库根目录的 README.md 当前已完成框架性内容,涵盖项目概述、模块说明、依赖列表、快速开始指引、引用规范五个章节,预计 5 月 30 日前补齐截图与示例输出。环境配置采用三轨并行,以覆盖不同评审复现场景:一是 requirements.txt + environment.yml,适用于已有 GPU 环境的本地复现,Python 版本锁定 3.10.13,所有依赖包带版本号上限(用 == 严格固定,不用 &gt;=),以避免上游包升级导致复现失败;二是 Dockerfile(基于 nvidia/cuda:12.1.1-cudnn8-runtime-ubuntu22.04),把 AlphaFold2、ColabFold、ProteinMPNN、ESM-IF1、DiffDock、HADDOCK、Rosetta 等工具与对应依赖打包成单一镜像,镜像 tag 跟仓库 tag 保持同步;三是 Singularity 定义文件(.def),针对国内高校 HPC 中心普遍不支持 Docker 而支持 Singularity 的现实情况,提供并行的容器化方案。Docker 镜像与 Singularity 镜像均上传至大赛指定容器镜像仓库(地址待组委会通知),并附镜像 SHA-256 摘要。</w:t>
      </w:r>
    </w:p>
    <w:p w14:paraId="5B577026">
      <w:pPr>
        <w:spacing w:before="40" w:after="40"/>
        <w:rPr>
          <w:rFonts w:ascii="宋体" w:hAnsi="宋体" w:eastAsia="宋体" w:cs="宋体"/>
          <w:sz w:val="24"/>
          <w:szCs w:val="24"/>
        </w:rPr>
      </w:pPr>
    </w:p>
    <w:p w14:paraId="5B2E3E36">
      <w:pPr>
        <w:spacing w:before="40" w:after="40"/>
        <w:rPr>
          <w:rFonts w:ascii="宋体" w:hAnsi="宋体" w:eastAsia="宋体" w:cs="宋体"/>
          <w:sz w:val="24"/>
          <w:szCs w:val="24"/>
        </w:rPr>
      </w:pPr>
    </w:p>
    <w:p w14:paraId="179A4A34">
      <w:pPr>
        <w:spacing w:before="40" w:after="40"/>
        <w:rPr>
          <w:rFonts w:ascii="宋体" w:hAnsi="宋体" w:eastAsia="宋体" w:cs="宋体"/>
          <w:sz w:val="24"/>
          <w:szCs w:val="24"/>
        </w:rPr>
      </w:pPr>
      <w:r>
        <w:rPr>
          <w:rFonts w:ascii="宋体" w:hAnsi="宋体" w:eastAsia="宋体" w:cs="宋体"/>
          <w:sz w:val="24"/>
          <w:szCs w:val="24"/>
        </w:rPr>
        <w:t>(4)一键复现脚本</w:t>
      </w:r>
    </w:p>
    <w:p w14:paraId="2798ED40">
      <w:pPr>
        <w:spacing w:before="40" w:after="40"/>
        <w:rPr>
          <w:rFonts w:ascii="宋体" w:hAnsi="宋体" w:eastAsia="宋体" w:cs="宋体"/>
          <w:sz w:val="24"/>
          <w:szCs w:val="24"/>
        </w:rPr>
      </w:pPr>
    </w:p>
    <w:p w14:paraId="16E19BD6">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仓库根目录提供 reproduce.sh 一键复现脚本,涵盖三档使用场景。Quick 档约 30 分钟,只跑 ESM-2 嵌入检索的小规模子集与 ProteinMPNN 的少量序列设计,用于评审快速验证流水线连通性;Standard 档约 6 小时,覆盖第③章列出的全部数据集与第④章的全部对照组,但 AlphaFold 预测限定为 BmCBP 与三个家族同源蛋白,DiffDock 对接限定为 BmCBP 跟三类纤维表面的核心组合;Full 档约 200 GPU 小时,跑完整方案书所述全部任务,产出方案书与论文级别的全套图表。三档脚本各自附带预期运行时长、显存占用、最终输出文件清单,运行结束后自动比对 SHA-256 与基准值,差异超出容忍度时报警。</w:t>
      </w:r>
    </w:p>
    <w:p w14:paraId="4D3CB527">
      <w:pPr>
        <w:spacing w:before="40" w:after="40"/>
        <w:rPr>
          <w:rFonts w:ascii="宋体" w:hAnsi="宋体" w:eastAsia="宋体" w:cs="宋体"/>
          <w:sz w:val="24"/>
          <w:szCs w:val="24"/>
        </w:rPr>
      </w:pPr>
    </w:p>
    <w:p w14:paraId="440B4AFF">
      <w:pPr>
        <w:spacing w:before="40" w:after="40"/>
        <w:rPr>
          <w:rFonts w:ascii="宋体" w:hAnsi="宋体" w:eastAsia="宋体" w:cs="宋体"/>
          <w:sz w:val="24"/>
          <w:szCs w:val="24"/>
        </w:rPr>
      </w:pPr>
      <w:r>
        <w:rPr>
          <w:rFonts w:ascii="宋体" w:hAnsi="宋体" w:eastAsia="宋体" w:cs="宋体"/>
          <w:sz w:val="24"/>
          <w:szCs w:val="24"/>
        </w:rPr>
        <w:t>(5)数据指纹与版本管理</w:t>
      </w:r>
    </w:p>
    <w:p w14:paraId="49BE64D1">
      <w:pPr>
        <w:spacing w:before="40" w:after="40"/>
        <w:rPr>
          <w:rFonts w:ascii="宋体" w:hAnsi="宋体" w:eastAsia="宋体" w:cs="宋体"/>
          <w:sz w:val="24"/>
          <w:szCs w:val="24"/>
        </w:rPr>
      </w:pPr>
    </w:p>
    <w:p w14:paraId="09088ED0">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所有原始数据集在拉取时记录 SHA-256 哈希,统一归档于 data_raw/CHECKSUMS.sha256 文件,任何后续访问都先校验哈希再读取数据。派生数据采用 DVC(Data Version Control 3.0+)做版本追踪,DVC 元数据与 Git 代码版本绑定,保证每个 Git tag 对应一组确定的派生数据快照。运行日志采用结构化 JSON 格式,字段包括运行时间戳、Git commit hash、Docker 镜像 tag、GPU 型号、随机种子、输入文件 SHA-256、输出文件 SHA-256、运行时长、显存峰值,日志归档到 logs/{date}/{run_id}.json,跟最终结果文件名做交叉索引。</w:t>
      </w:r>
    </w:p>
    <w:p w14:paraId="34F54075">
      <w:pPr>
        <w:spacing w:before="40" w:after="40"/>
        <w:rPr>
          <w:rFonts w:ascii="宋体" w:hAnsi="宋体" w:eastAsia="宋体" w:cs="宋体"/>
          <w:sz w:val="24"/>
          <w:szCs w:val="24"/>
        </w:rPr>
      </w:pPr>
    </w:p>
    <w:p w14:paraId="6E4B2127">
      <w:pPr>
        <w:spacing w:before="40" w:after="40"/>
        <w:rPr>
          <w:rFonts w:ascii="宋体" w:hAnsi="宋体" w:eastAsia="宋体" w:cs="宋体"/>
          <w:sz w:val="24"/>
          <w:szCs w:val="24"/>
        </w:rPr>
      </w:pPr>
      <w:r>
        <w:rPr>
          <w:rFonts w:ascii="宋体" w:hAnsi="宋体" w:eastAsia="宋体" w:cs="宋体"/>
          <w:sz w:val="24"/>
          <w:szCs w:val="24"/>
        </w:rPr>
        <w:t>(6)第三方依赖的可追溯性</w:t>
      </w:r>
    </w:p>
    <w:p w14:paraId="0C5320D4">
      <w:pPr>
        <w:spacing w:before="40" w:after="40"/>
        <w:rPr>
          <w:rFonts w:ascii="宋体" w:hAnsi="宋体" w:eastAsia="宋体" w:cs="宋体"/>
          <w:sz w:val="24"/>
          <w:szCs w:val="24"/>
        </w:rPr>
      </w:pPr>
    </w:p>
    <w:p w14:paraId="7FF80EB6">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预训练模型权重的版本与下载来源在 docs/model_provenance.md 中单独存档,涵盖 ESM-2(Hugging Face facebook/esm2_t33_650M_UR50D,checkpoint hash)、AlphaFold2(DeepMind 官方 v2.3.2 参数包,SHA-256)、AlphaFold-Multimer v3、ProteinMPNN v1.0.1(GitHub release tag)、ESM-IF1(Hugging Face facebook/esm_if1_gvp4_t16_142M_UR50)、DiffDock(GitHub release tag),保证评审能逐个核对模型来源与版本。</w:t>
      </w:r>
    </w:p>
    <w:p w14:paraId="7B1B99A2">
      <w:pPr>
        <w:pStyle w:val="4"/>
        <w:rPr>
          <w:rFonts w:ascii="Times New Roman" w:hAnsi="Times New Roman"/>
        </w:rPr>
      </w:pPr>
      <w:r>
        <w:rPr>
          <w:rFonts w:ascii="Times New Roman" w:hAnsi="Times New Roman"/>
        </w:rPr>
        <w:t>⑦ 风险评估与负责任 AI</w:t>
      </w:r>
    </w:p>
    <w:p w14:paraId="426A7A6F">
      <w:pPr>
        <w:pStyle w:val="4"/>
        <w:rPr>
          <w:rFonts w:ascii="Times New Roman" w:hAnsi="Times New Roman"/>
        </w:rPr>
      </w:pPr>
    </w:p>
    <w:p w14:paraId="4E617B7A">
      <w:pPr>
        <w:rPr>
          <w:rFonts w:ascii="宋体" w:hAnsi="宋体" w:eastAsia="宋体" w:cs="宋体"/>
          <w:sz w:val="24"/>
          <w:szCs w:val="24"/>
        </w:rPr>
      </w:pPr>
      <w:r>
        <w:rPr>
          <w:rFonts w:ascii="宋体" w:hAnsi="宋体" w:eastAsia="宋体" w:cs="宋体"/>
          <w:sz w:val="24"/>
          <w:szCs w:val="24"/>
        </w:rPr>
        <w:t>(1)模型失败模式与影响</w:t>
      </w:r>
    </w:p>
    <w:p w14:paraId="19F28357">
      <w:pPr>
        <w:rPr>
          <w:rFonts w:ascii="宋体" w:hAnsi="宋体" w:eastAsia="宋体" w:cs="宋体"/>
          <w:sz w:val="24"/>
          <w:szCs w:val="24"/>
        </w:rPr>
      </w:pPr>
    </w:p>
    <w:p w14:paraId="4243DCB4">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本项目在第④章已明确列出三类技术失败模式与回退策略,这里进一步从"模型可能失败的方向"与"失败后的影响范围"两个维度做系统性梳理。</w:t>
      </w:r>
    </w:p>
    <w:p w14:paraId="4F04DF0D">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第一类失败模式是ESM-2 嵌入检索的家族偏倚。类胡萝卜素结合蛋白家族公开序列与结构数据主要集中在鳞翅目昆虫和光合微生物两类,在工业用染料结合场景下的覆盖度有限。这一偏倚可能导致 ESM-2 嵌入空间内"高相似"候选实际上跟工业染料结合活性弱相关。影响范围限定在候选挖掘环节,后果是 BmCBP 之外的备选支架不够丰富,但不影响 BmCBP 本身这一已通过湿实验验证的核心对象。应对措施是在 BLASTp 与 HMMER 双基线交叉验证之外,把 ProtT5-XL-U50 同范式对照纳入流程,以隔离模型范式偏差与具体模型偏差。</w:t>
      </w:r>
    </w:p>
    <w:p w14:paraId="18F827C9">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第二类失败模式是AlphaFold-Multimer 在蛋白—配体和蛋白—大分子表面对接上的可靠性边界。AlphaFold2/Multimer 训练目标是蛋白—蛋白复合物,把虾青素(类胡萝卜素小分子)与丝素、纤维素、PET 这种高分子表面纳入预测,处于模型能力外延区域,有可能给出不可信的 ipTM 与 pLDDT。影响范围波及机制解析与变体设计两个环节,失败后无法用 AI 解释基材选择性差异,也无法理性指导变体改造。应对措施是设定 ipTM &lt; 0.5、pLDDT &lt; 70 的硬阈值,低于阈值的复合物结果不作为结论;同时引入 DiffDock 与 HADDOCK 两个独立对接工具做交叉验证,只采用三家结果一致的预测作为后续设计的输入。</w:t>
      </w:r>
    </w:p>
    <w:p w14:paraId="41380927">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第三类失败模式是ProteinMPNN 与 ESM-IF1 设计的变体在湿实验中表达失败或失活。逆折叠模型生成的序列在折叠预测层面可能 TM-score &gt; 0.9,但实际表达涉及大肠杆菌的密码子偏好、可溶性、稳定性等多重因素,模型无法完整建模。影响范围局限在最终送湿实验的候选库,后果是数据回流速度变慢。应对措施是把单候选突变密度上限设为 15%(相对野生型),在序列层面用 CodonPy 或 IDT 在线工具做密码子优化,湿实验阶段先做小规模摇瓶表达筛选(48 孔板),再放大到目标变体。</w:t>
      </w:r>
    </w:p>
    <w:p w14:paraId="6DBD5811">
      <w:pPr>
        <w:rPr>
          <w:rFonts w:ascii="宋体" w:hAnsi="宋体" w:eastAsia="宋体" w:cs="宋体"/>
          <w:sz w:val="24"/>
          <w:szCs w:val="24"/>
        </w:rPr>
      </w:pPr>
    </w:p>
    <w:p w14:paraId="66FB329B">
      <w:pPr>
        <w:rPr>
          <w:rFonts w:ascii="宋体" w:hAnsi="宋体" w:eastAsia="宋体" w:cs="宋体"/>
          <w:sz w:val="24"/>
          <w:szCs w:val="24"/>
        </w:rPr>
      </w:pPr>
    </w:p>
    <w:p w14:paraId="3598F8B2">
      <w:pPr>
        <w:rPr>
          <w:rFonts w:ascii="宋体" w:hAnsi="宋体" w:eastAsia="宋体" w:cs="宋体"/>
          <w:sz w:val="24"/>
          <w:szCs w:val="24"/>
        </w:rPr>
      </w:pPr>
      <w:r>
        <w:rPr>
          <w:rFonts w:ascii="宋体" w:hAnsi="宋体" w:eastAsia="宋体" w:cs="宋体"/>
          <w:sz w:val="24"/>
          <w:szCs w:val="24"/>
        </w:rPr>
        <w:t>(2)生物序列生成的双重用途风险与防护措施</w:t>
      </w:r>
    </w:p>
    <w:p w14:paraId="5C6B86C6">
      <w:pPr>
        <w:rPr>
          <w:rFonts w:ascii="宋体" w:hAnsi="宋体" w:eastAsia="宋体" w:cs="宋体"/>
          <w:sz w:val="24"/>
          <w:szCs w:val="24"/>
        </w:rPr>
      </w:pPr>
    </w:p>
    <w:p w14:paraId="035416D5">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 AI 模型(具体为 ProteinMPNN、ESM-IF1)会生成新的蛋白质氨基酸序列,根据安全审批表 D 部分的要求,这一项必须明确勾选"是",并附序列输出的安全审查机制。本项目设计的安全审查流程如下:</w:t>
      </w:r>
    </w:p>
    <w:p w14:paraId="4AEF7131">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第一道闸口:设计目标与靶点的范围限定。本项目所有 AI 设计的序列均以 BmCBP(家蚕类胡萝卜素结合蛋白,277 aa,UniProt 注释为非毒素、非致敏、风险等级 RG1)为唯一骨架,设计目标限定在"提升对纺织纤维表面的结合能力",不涉及任何毒素骨架、过敏原骨架或病原体相关蛋白。设计输出序列长度上限设为野生型 BmCBP 长度的 ± 5%,排除拼接其他功能域的可能性。</w:t>
      </w:r>
    </w:p>
    <w:p w14:paraId="1B9AC98F">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第二道闸口:序列安全相似性筛查。所有 AI 设计的候选变体在送湿实验之前,均通过以下三个公开数据库做相似性筛查:一是 ToxinPred(Gupta 等,Nucleic Acids Research 2024 更新版),筛查跟已知毒素的序列相似性,阈值设为 BLAST E-value &lt; 1e-5 即触发人工复核;二是 AllergenOnline(FARRP,University of Nebraska,2024 数据更新),筛查跟已知过敏原的序列相似性,阈值同上;三是 VFDB(Virulence Factor Database,2024 版),筛查跟已知致病因子的序列相似性。三个数据库任何一个触发警报的候选序列均不送湿实验,记录到 failed_cases/safety_flagged/ 目录。</w:t>
      </w:r>
    </w:p>
    <w:p w14:paraId="01BC713E">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第三道闸口:合成前的人工核查。所有通过自动筛查的候选序列在送商业基因合成公司之前,均经过本团队 PI 与安全管理负责人的人工复核,确认序列改动落在第二道闸口未覆盖的额外风险点(比如不寻常的二硫键模式、跨膜段意外引入等)之外,签字归档后方可下单。</w:t>
      </w:r>
    </w:p>
    <w:p w14:paraId="0CE8E20F">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第四道闸口:合成商的合规筛查。本项目拟选用 IDT、Genscript、金斯瑞等具备国际基因合成商联盟(IGSC)Harmonized Screening Protocol 合规资质的合成商,这些公司在合成前会独立做一次毒素与病原体相似性筛查,作为第三方独立闸口。</w:t>
      </w:r>
    </w:p>
    <w:p w14:paraId="043C65B1">
      <w:pPr>
        <w:rPr>
          <w:rFonts w:ascii="宋体" w:hAnsi="宋体" w:eastAsia="宋体" w:cs="宋体"/>
          <w:sz w:val="24"/>
          <w:szCs w:val="24"/>
        </w:rPr>
      </w:pPr>
    </w:p>
    <w:p w14:paraId="23903907">
      <w:pPr>
        <w:rPr>
          <w:rFonts w:ascii="宋体" w:hAnsi="宋体" w:eastAsia="宋体" w:cs="宋体"/>
          <w:sz w:val="24"/>
          <w:szCs w:val="24"/>
        </w:rPr>
      </w:pPr>
    </w:p>
    <w:p w14:paraId="74B3F394">
      <w:pPr>
        <w:rPr>
          <w:rFonts w:ascii="宋体" w:hAnsi="宋体" w:eastAsia="宋体" w:cs="宋体"/>
          <w:sz w:val="24"/>
          <w:szCs w:val="24"/>
        </w:rPr>
      </w:pPr>
      <w:r>
        <w:rPr>
          <w:rFonts w:ascii="宋体" w:hAnsi="宋体" w:eastAsia="宋体" w:cs="宋体"/>
          <w:sz w:val="24"/>
          <w:szCs w:val="24"/>
        </w:rPr>
        <w:t>(3)训练数据的隐私与受保护信息审查</w:t>
      </w:r>
    </w:p>
    <w:p w14:paraId="03C7959A">
      <w:pPr>
        <w:rPr>
          <w:rFonts w:ascii="宋体" w:hAnsi="宋体" w:eastAsia="宋体" w:cs="宋体"/>
          <w:sz w:val="24"/>
          <w:szCs w:val="24"/>
        </w:rPr>
      </w:pPr>
    </w:p>
    <w:p w14:paraId="756D56BF">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本项目所有数据集均为开放学术数据库(UniProt CC BY 4.0、PDB CC0、PubChem 开放科学数据),不涉及人类基因组数据、医疗记录、个人识别信息或受版权保护的私有数据集,无隐私与受保护信息相关风险,无需额外伦理审查授权。这一项已在第</w:t>
      </w:r>
      <w:r>
        <w:rPr>
          <w:rFonts w:hint="eastAsia" w:ascii="Times New Roman" w:hAnsi="Times New Roman" w:eastAsia="宋体" w:cs="宋体"/>
          <w:lang w:val="en-US" w:eastAsia="zh-CN"/>
        </w:rPr>
        <w:t>三</w:t>
      </w:r>
      <w:r>
        <w:rPr>
          <w:rFonts w:hint="eastAsia" w:ascii="Times New Roman" w:hAnsi="Times New Roman" w:eastAsia="宋体" w:cs="宋体"/>
        </w:rPr>
        <w:t>章详细说明。</w:t>
      </w:r>
    </w:p>
    <w:p w14:paraId="652C8D81">
      <w:pPr>
        <w:rPr>
          <w:rFonts w:ascii="宋体" w:hAnsi="宋体" w:eastAsia="宋体" w:cs="宋体"/>
          <w:sz w:val="24"/>
          <w:szCs w:val="24"/>
        </w:rPr>
      </w:pPr>
    </w:p>
    <w:p w14:paraId="02CBF9D3">
      <w:pPr>
        <w:rPr>
          <w:rFonts w:ascii="宋体" w:hAnsi="宋体" w:eastAsia="宋体" w:cs="宋体"/>
          <w:sz w:val="24"/>
          <w:szCs w:val="24"/>
        </w:rPr>
      </w:pPr>
      <w:r>
        <w:rPr>
          <w:rFonts w:ascii="宋体" w:hAnsi="宋体" w:eastAsia="宋体" w:cs="宋体"/>
          <w:sz w:val="24"/>
          <w:szCs w:val="24"/>
        </w:rPr>
        <w:t>(4)AI 输出与湿实验决策的关系</w:t>
      </w:r>
    </w:p>
    <w:p w14:paraId="2862CCCF">
      <w:pPr>
        <w:rPr>
          <w:rFonts w:ascii="宋体" w:hAnsi="宋体" w:eastAsia="宋体" w:cs="宋体"/>
          <w:sz w:val="24"/>
          <w:szCs w:val="24"/>
        </w:rPr>
      </w:pPr>
    </w:p>
    <w:p w14:paraId="230049EB">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本项目所有 AI 模型输出均不直接驱动湿实验决策。AI 输出的候选序列、对接构象、结合能预测,都作为"假设生成与排序"信息提供给湿实验组,最终送实验的具体候选清单由 PI 与湿实验负责人双签确认,人工核查的依据包括序列安全筛查结果、突变密度合理性、跟前期实验结果的一致性。AI 输出与人工决策之间的责任边界在仓库 docs/ai_human_decision_protocol.md 文档中单独存档。</w:t>
      </w:r>
    </w:p>
    <w:p w14:paraId="7EFC3972">
      <w:pPr>
        <w:rPr>
          <w:rFonts w:ascii="宋体" w:hAnsi="宋体" w:eastAsia="宋体" w:cs="宋体"/>
          <w:sz w:val="24"/>
          <w:szCs w:val="24"/>
        </w:rPr>
      </w:pPr>
    </w:p>
    <w:p w14:paraId="67DF5811">
      <w:pPr>
        <w:rPr>
          <w:rFonts w:ascii="宋体" w:hAnsi="宋体" w:eastAsia="宋体" w:cs="宋体"/>
          <w:sz w:val="24"/>
          <w:szCs w:val="24"/>
        </w:rPr>
      </w:pPr>
      <w:r>
        <w:rPr>
          <w:rFonts w:ascii="宋体" w:hAnsi="宋体" w:eastAsia="宋体" w:cs="宋体"/>
          <w:sz w:val="24"/>
          <w:szCs w:val="24"/>
        </w:rPr>
        <w:t>(5)可解释性分析方案</w:t>
      </w:r>
    </w:p>
    <w:p w14:paraId="3F3F5A28">
      <w:pPr>
        <w:rPr>
          <w:rFonts w:ascii="宋体" w:hAnsi="宋体" w:eastAsia="宋体" w:cs="宋体"/>
          <w:sz w:val="24"/>
          <w:szCs w:val="24"/>
        </w:rPr>
      </w:pPr>
    </w:p>
    <w:p w14:paraId="5D710FCF">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本项目可解释性分析采取三种互补手段。</w:t>
      </w:r>
    </w:p>
    <w:p w14:paraId="135EEC68">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一是注意力可视化,对 ESM-2 嵌入输出的高维向量,采用 UMAP(McInnes 2018,2024 仍广泛使用)做二维投影,可视化 BmCBP 在类胡萝卜素结合蛋白家族嵌入空间中的近邻关系,帮助评审与领域专家直观理解检索结果的合理性。</w:t>
      </w:r>
    </w:p>
    <w:p w14:paraId="56B75F4C">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二是残基重要性归因,对 ProteinMPNN 设计的关键突变位点,做"逐位点回退到野生型"的消融实验,把 ΔΔG 变化归因到具体残基,与第⑤章湿实验色牢度数据做对比验证。</w:t>
      </w:r>
    </w:p>
    <w:p w14:paraId="194B5C94">
      <w:pPr>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firstLine="440" w:firstLineChars="200"/>
        <w:textAlignment w:val="auto"/>
        <w:rPr>
          <w:rFonts w:hint="eastAsia" w:ascii="Times New Roman" w:hAnsi="Times New Roman" w:eastAsia="宋体" w:cs="宋体"/>
        </w:rPr>
      </w:pPr>
      <w:r>
        <w:rPr>
          <w:rFonts w:hint="eastAsia" w:ascii="Times New Roman" w:hAnsi="Times New Roman" w:eastAsia="宋体" w:cs="宋体"/>
        </w:rPr>
        <w:t>三是反事实分析,对每个最终入选的设计候选,生成一组"刻意保留弱点"的反事实变体(比如把改善纤维素结合的突变还原回野生型),通过对比反事实变体与原候选的对接打分,验证设计逻辑的因果性而非偶然性。</w:t>
      </w:r>
    </w:p>
    <w:p w14:paraId="2C349FC1">
      <w:pPr>
        <w:rPr>
          <w:rFonts w:ascii="Times New Roman" w:hAnsi="Times New Roman"/>
        </w:rPr>
      </w:pPr>
      <w:r>
        <w:rPr>
          <w:rFonts w:ascii="Times New Roman" w:hAnsi="Times New Roman"/>
        </w:rPr>
        <w:br w:type="page"/>
      </w:r>
    </w:p>
    <w:p w14:paraId="5B0B8056">
      <w:pPr>
        <w:rPr>
          <w:rFonts w:ascii="Times New Roman" w:hAnsi="Times New Roman"/>
        </w:rPr>
      </w:pPr>
    </w:p>
    <w:p w14:paraId="79E18A99">
      <w:pPr>
        <w:pStyle w:val="2"/>
        <w:pBdr>
          <w:bottom w:val="single" w:color="1F4E79" w:sz="12" w:space="6"/>
        </w:pBdr>
        <w:rPr>
          <w:rFonts w:ascii="Times New Roman" w:hAnsi="Times New Roman"/>
        </w:rPr>
      </w:pPr>
      <w:r>
        <w:rPr>
          <w:rFonts w:ascii="Times New Roman" w:hAnsi="Times New Roman"/>
        </w:rPr>
        <w:t>第三部分　初步安全审批表</w:t>
      </w:r>
    </w:p>
    <w:p w14:paraId="5C8F0777">
      <w:pPr>
        <w:pStyle w:val="3"/>
        <w:rPr>
          <w:rFonts w:ascii="Times New Roman" w:hAnsi="Times New Roman"/>
        </w:rPr>
      </w:pPr>
      <w:r>
        <w:rPr>
          <w:rFonts w:ascii="Times New Roman" w:hAnsi="Times New Roman"/>
        </w:rPr>
        <w:t>3.1　内容要求</w:t>
      </w:r>
    </w:p>
    <w:p w14:paraId="761E520B">
      <w:pPr>
        <w:spacing w:before="100" w:after="100" w:line="380" w:lineRule="auto"/>
        <w:jc w:val="both"/>
        <w:rPr>
          <w:rFonts w:ascii="Times New Roman" w:hAnsi="Times New Roman"/>
        </w:rPr>
      </w:pPr>
      <w:r>
        <w:rPr>
          <w:rFonts w:ascii="Times New Roman" w:hAnsi="Times New Roman"/>
          <w:color w:val="1F1F1F"/>
        </w:rPr>
        <w:t>初步安全审批表用于在赛季早期识别潜在的安全与伦理风险。请如实填写以下信息：</w:t>
      </w:r>
    </w:p>
    <w:p w14:paraId="043E6CD5">
      <w:pPr>
        <w:pStyle w:val="4"/>
        <w:rPr>
          <w:rFonts w:ascii="Times New Roman" w:hAnsi="Times New Roman"/>
        </w:rPr>
      </w:pPr>
      <w:r>
        <w:rPr>
          <w:rFonts w:ascii="Times New Roman" w:hAnsi="Times New Roman"/>
        </w:rPr>
        <w:t>① 实验室基本情况</w:t>
      </w:r>
    </w:p>
    <w:p w14:paraId="69E1CC04">
      <w:pPr>
        <w:pStyle w:val="20"/>
        <w:numPr>
          <w:ilvl w:val="0"/>
          <w:numId w:val="1"/>
        </w:numPr>
        <w:spacing w:before="60" w:after="60" w:line="360" w:lineRule="auto"/>
        <w:rPr>
          <w:rFonts w:ascii="Times New Roman" w:hAnsi="Times New Roman"/>
        </w:rPr>
      </w:pPr>
      <w:r>
        <w:rPr>
          <w:rFonts w:ascii="Times New Roman" w:hAnsi="Times New Roman"/>
          <w:color w:val="1F1F1F"/>
        </w:rPr>
        <w:t>PI 姓名、所属机构、实验室位置；</w:t>
      </w:r>
    </w:p>
    <w:p w14:paraId="165CAED7">
      <w:pPr>
        <w:pStyle w:val="20"/>
        <w:numPr>
          <w:ilvl w:val="0"/>
          <w:numId w:val="1"/>
        </w:numPr>
        <w:spacing w:before="60" w:after="60" w:line="360" w:lineRule="auto"/>
        <w:rPr>
          <w:rFonts w:ascii="Times New Roman" w:hAnsi="Times New Roman"/>
        </w:rPr>
      </w:pPr>
      <w:r>
        <w:rPr>
          <w:rFonts w:ascii="Times New Roman" w:hAnsi="Times New Roman"/>
          <w:color w:val="1F1F1F"/>
        </w:rPr>
        <w:t>实验室生物安全等级（必须为 BSL-1 或 BSL-2）；</w:t>
      </w:r>
    </w:p>
    <w:p w14:paraId="7CAC2B78">
      <w:pPr>
        <w:pStyle w:val="20"/>
        <w:numPr>
          <w:ilvl w:val="0"/>
          <w:numId w:val="1"/>
        </w:numPr>
        <w:spacing w:before="60" w:after="60" w:line="360" w:lineRule="auto"/>
        <w:rPr>
          <w:rFonts w:ascii="Times New Roman" w:hAnsi="Times New Roman"/>
        </w:rPr>
      </w:pPr>
      <w:r>
        <w:rPr>
          <w:rFonts w:ascii="Times New Roman" w:hAnsi="Times New Roman"/>
          <w:color w:val="1F1F1F"/>
        </w:rPr>
        <w:t>实验室生物安全管理负责人；</w:t>
      </w:r>
    </w:p>
    <w:p w14:paraId="740C91BA">
      <w:pPr>
        <w:pStyle w:val="20"/>
        <w:numPr>
          <w:ilvl w:val="0"/>
          <w:numId w:val="1"/>
        </w:numPr>
        <w:spacing w:before="60" w:after="60" w:line="360" w:lineRule="auto"/>
        <w:rPr>
          <w:rFonts w:ascii="Times New Roman" w:hAnsi="Times New Roman"/>
        </w:rPr>
      </w:pPr>
      <w:r>
        <w:rPr>
          <w:rFonts w:ascii="Times New Roman" w:hAnsi="Times New Roman"/>
          <w:color w:val="1F1F1F"/>
        </w:rPr>
        <w:t>队员是否已完成所在机构要求的实验室安全培训。</w:t>
      </w:r>
    </w:p>
    <w:p w14:paraId="213F856F">
      <w:pPr>
        <w:pStyle w:val="4"/>
        <w:rPr>
          <w:rFonts w:ascii="Times New Roman" w:hAnsi="Times New Roman"/>
        </w:rPr>
      </w:pPr>
      <w:r>
        <w:rPr>
          <w:rFonts w:ascii="Times New Roman" w:hAnsi="Times New Roman"/>
        </w:rPr>
        <w:t>② 拟使用的生物体与材料</w:t>
      </w:r>
    </w:p>
    <w:p w14:paraId="1CEEA65A">
      <w:pPr>
        <w:pStyle w:val="20"/>
        <w:numPr>
          <w:ilvl w:val="0"/>
          <w:numId w:val="1"/>
        </w:numPr>
        <w:spacing w:before="60" w:after="60" w:line="360" w:lineRule="auto"/>
        <w:rPr>
          <w:rFonts w:ascii="Times New Roman" w:hAnsi="Times New Roman"/>
        </w:rPr>
      </w:pPr>
      <w:r>
        <w:rPr>
          <w:rFonts w:ascii="Times New Roman" w:hAnsi="Times New Roman"/>
          <w:color w:val="1F1F1F"/>
        </w:rPr>
        <w:t>所有拟使用的菌株 / 细胞系 / 病毒载体 / 噬菌体等清单（含来源、风险等级 RG1 / RG2）；</w:t>
      </w:r>
    </w:p>
    <w:p w14:paraId="0A7098ED">
      <w:pPr>
        <w:pStyle w:val="20"/>
        <w:numPr>
          <w:ilvl w:val="0"/>
          <w:numId w:val="1"/>
        </w:numPr>
        <w:spacing w:before="60" w:after="60" w:line="360" w:lineRule="auto"/>
        <w:rPr>
          <w:rFonts w:ascii="Times New Roman" w:hAnsi="Times New Roman"/>
        </w:rPr>
      </w:pPr>
      <w:r>
        <w:rPr>
          <w:rFonts w:ascii="Times New Roman" w:hAnsi="Times New Roman"/>
          <w:color w:val="1F1F1F"/>
        </w:rPr>
        <w:t>所有拟使用的 DNA 元件清单（标准元件 / 自行设计的元件）；</w:t>
      </w:r>
    </w:p>
    <w:p w14:paraId="1CA7617D">
      <w:pPr>
        <w:pStyle w:val="20"/>
        <w:numPr>
          <w:ilvl w:val="0"/>
          <w:numId w:val="1"/>
        </w:numPr>
        <w:spacing w:before="60" w:after="60" w:line="360" w:lineRule="auto"/>
        <w:rPr>
          <w:rFonts w:ascii="Times New Roman" w:hAnsi="Times New Roman"/>
        </w:rPr>
      </w:pPr>
      <w:r>
        <w:rPr>
          <w:rFonts w:ascii="Times New Roman" w:hAnsi="Times New Roman"/>
          <w:color w:val="1F1F1F"/>
        </w:rPr>
        <w:t>明确：所使用的生物体与元件是否全部在大赛白名单中。</w:t>
      </w:r>
    </w:p>
    <w:p w14:paraId="5C53C463">
      <w:pPr>
        <w:pStyle w:val="4"/>
        <w:rPr>
          <w:rFonts w:ascii="Times New Roman" w:hAnsi="Times New Roman"/>
        </w:rPr>
      </w:pPr>
      <w:r>
        <w:rPr>
          <w:rFonts w:ascii="Times New Roman" w:hAnsi="Times New Roman"/>
        </w:rPr>
        <w:t>③ 是否涉及预审批事项（重点）</w:t>
      </w:r>
    </w:p>
    <w:p w14:paraId="14A1EADA">
      <w:pPr>
        <w:spacing w:before="100" w:after="100" w:line="380" w:lineRule="auto"/>
        <w:jc w:val="both"/>
        <w:rPr>
          <w:rFonts w:ascii="Times New Roman" w:hAnsi="Times New Roman"/>
        </w:rPr>
      </w:pPr>
      <w:r>
        <w:rPr>
          <w:rFonts w:ascii="Times New Roman" w:hAnsi="Times New Roman"/>
          <w:color w:val="1F1F1F"/>
        </w:rPr>
        <w:t>下列每一项均请明确选择"是 / 否"，"是"项须附详细说明：</w:t>
      </w:r>
    </w:p>
    <w:p w14:paraId="22BB5B5A">
      <w:pPr>
        <w:pStyle w:val="20"/>
        <w:numPr>
          <w:ilvl w:val="0"/>
          <w:numId w:val="1"/>
        </w:numPr>
        <w:spacing w:before="60" w:after="60" w:line="360" w:lineRule="auto"/>
        <w:rPr>
          <w:rFonts w:ascii="Times New Roman" w:hAnsi="Times New Roman"/>
        </w:rPr>
      </w:pPr>
      <w:r>
        <w:rPr>
          <w:rFonts w:ascii="Times New Roman" w:hAnsi="Times New Roman"/>
          <w:color w:val="1F1F1F"/>
        </w:rPr>
        <w:t>是否涉及脊椎动物或高级无脊椎动物（含组织、血液、唾液样本）？</w:t>
      </w:r>
    </w:p>
    <w:p w14:paraId="08AC6158">
      <w:pPr>
        <w:pStyle w:val="20"/>
        <w:numPr>
          <w:ilvl w:val="0"/>
          <w:numId w:val="1"/>
        </w:numPr>
        <w:spacing w:before="60" w:after="60" w:line="360" w:lineRule="auto"/>
        <w:rPr>
          <w:rFonts w:ascii="Times New Roman" w:hAnsi="Times New Roman"/>
        </w:rPr>
      </w:pPr>
      <w:r>
        <w:rPr>
          <w:rFonts w:ascii="Times New Roman" w:hAnsi="Times New Roman"/>
          <w:color w:val="1F1F1F"/>
        </w:rPr>
        <w:t>是否涉及基因驱动（Gene Drives）？</w:t>
      </w:r>
    </w:p>
    <w:p w14:paraId="581F11AF">
      <w:pPr>
        <w:pStyle w:val="20"/>
        <w:numPr>
          <w:ilvl w:val="0"/>
          <w:numId w:val="1"/>
        </w:numPr>
        <w:spacing w:before="60" w:after="60" w:line="360" w:lineRule="auto"/>
        <w:rPr>
          <w:rFonts w:ascii="Times New Roman" w:hAnsi="Times New Roman"/>
        </w:rPr>
      </w:pPr>
      <w:r>
        <w:rPr>
          <w:rFonts w:ascii="Times New Roman" w:hAnsi="Times New Roman"/>
          <w:color w:val="1F1F1F"/>
        </w:rPr>
        <w:t>是否涉及抗生素耐药性（AMR）相关元件？</w:t>
      </w:r>
    </w:p>
    <w:p w14:paraId="3AF64090">
      <w:pPr>
        <w:pStyle w:val="20"/>
        <w:numPr>
          <w:ilvl w:val="0"/>
          <w:numId w:val="1"/>
        </w:numPr>
        <w:spacing w:before="60" w:after="60" w:line="360" w:lineRule="auto"/>
        <w:rPr>
          <w:rFonts w:ascii="Times New Roman" w:hAnsi="Times New Roman"/>
        </w:rPr>
      </w:pPr>
      <w:r>
        <w:rPr>
          <w:rFonts w:ascii="Times New Roman" w:hAnsi="Times New Roman"/>
          <w:color w:val="1F1F1F"/>
        </w:rPr>
        <w:t>是否涉及高致病性病原体相关序列？</w:t>
      </w:r>
    </w:p>
    <w:p w14:paraId="1417B3ED">
      <w:pPr>
        <w:pStyle w:val="20"/>
        <w:numPr>
          <w:ilvl w:val="0"/>
          <w:numId w:val="1"/>
        </w:numPr>
        <w:spacing w:before="60" w:after="60" w:line="360" w:lineRule="auto"/>
        <w:rPr>
          <w:rFonts w:ascii="Times New Roman" w:hAnsi="Times New Roman"/>
        </w:rPr>
      </w:pPr>
      <w:r>
        <w:rPr>
          <w:rFonts w:ascii="Times New Roman" w:hAnsi="Times New Roman"/>
          <w:color w:val="1F1F1F"/>
        </w:rPr>
        <w:t>是否使用大规模人类基因组数据或敏感医疗数据训练 AI 模型？</w:t>
      </w:r>
    </w:p>
    <w:p w14:paraId="697DE8A2">
      <w:pPr>
        <w:pStyle w:val="20"/>
        <w:spacing w:before="60" w:after="60" w:line="360" w:lineRule="auto"/>
        <w:ind w:left="480"/>
        <w:rPr>
          <w:rFonts w:ascii="Times New Roman" w:hAnsi="Times New Roman"/>
        </w:rPr>
      </w:pPr>
    </w:p>
    <w:p w14:paraId="6C5E35E1">
      <w:pPr>
        <w:pStyle w:val="4"/>
        <w:rPr>
          <w:rFonts w:ascii="Times New Roman" w:hAnsi="Times New Roman"/>
        </w:rPr>
      </w:pPr>
      <w:r>
        <w:rPr>
          <w:rFonts w:ascii="Times New Roman" w:hAnsi="Times New Roman"/>
        </w:rPr>
        <w:t>④ AI 相关安全要点</w:t>
      </w:r>
    </w:p>
    <w:p w14:paraId="7545EE13">
      <w:pPr>
        <w:pStyle w:val="20"/>
        <w:numPr>
          <w:ilvl w:val="0"/>
          <w:numId w:val="1"/>
        </w:numPr>
        <w:spacing w:before="60" w:after="60" w:line="360" w:lineRule="auto"/>
        <w:rPr>
          <w:rFonts w:ascii="Times New Roman" w:hAnsi="Times New Roman"/>
        </w:rPr>
      </w:pPr>
      <w:r>
        <w:rPr>
          <w:rFonts w:ascii="Times New Roman" w:hAnsi="Times New Roman"/>
          <w:color w:val="1F1F1F"/>
        </w:rPr>
        <w:t>AI 模型是否会生成生物序列？若是，附序列输出的安全审查机制；</w:t>
      </w:r>
    </w:p>
    <w:p w14:paraId="16CB39FA">
      <w:pPr>
        <w:pStyle w:val="20"/>
        <w:numPr>
          <w:ilvl w:val="0"/>
          <w:numId w:val="1"/>
        </w:numPr>
        <w:spacing w:before="60" w:after="60" w:line="360" w:lineRule="auto"/>
        <w:rPr>
          <w:rFonts w:ascii="Times New Roman" w:hAnsi="Times New Roman"/>
        </w:rPr>
      </w:pPr>
      <w:r>
        <w:rPr>
          <w:rFonts w:ascii="Times New Roman" w:hAnsi="Times New Roman"/>
          <w:color w:val="1F1F1F"/>
        </w:rPr>
        <w:t>训练数据是否涉及隐私 / 受保护信息？若是，附伦理审查与授权说明；</w:t>
      </w:r>
    </w:p>
    <w:p w14:paraId="0D7BF507">
      <w:pPr>
        <w:pStyle w:val="20"/>
        <w:numPr>
          <w:ilvl w:val="0"/>
          <w:numId w:val="1"/>
        </w:numPr>
        <w:spacing w:before="60" w:after="60" w:line="360" w:lineRule="auto"/>
        <w:rPr>
          <w:rFonts w:ascii="Times New Roman" w:hAnsi="Times New Roman"/>
        </w:rPr>
      </w:pPr>
      <w:r>
        <w:rPr>
          <w:rFonts w:ascii="Times New Roman" w:hAnsi="Times New Roman"/>
          <w:color w:val="1F1F1F"/>
        </w:rPr>
        <w:t>AI 输出是否会直接驱动湿实验决策？若是，说明人工核查环节。</w:t>
      </w:r>
    </w:p>
    <w:p w14:paraId="6773D2C6">
      <w:pPr>
        <w:pStyle w:val="4"/>
        <w:rPr>
          <w:rFonts w:ascii="Times New Roman" w:hAnsi="Times New Roman"/>
        </w:rPr>
      </w:pPr>
      <w:r>
        <w:rPr>
          <w:rFonts w:ascii="Times New Roman" w:hAnsi="Times New Roman"/>
        </w:rPr>
        <w:t>⑤ 紧急情况预案</w:t>
      </w:r>
    </w:p>
    <w:p w14:paraId="6169EFD6">
      <w:pPr>
        <w:pStyle w:val="20"/>
        <w:numPr>
          <w:ilvl w:val="0"/>
          <w:numId w:val="1"/>
        </w:numPr>
        <w:spacing w:before="60" w:after="60" w:line="360" w:lineRule="auto"/>
        <w:rPr>
          <w:rFonts w:ascii="Times New Roman" w:hAnsi="Times New Roman"/>
        </w:rPr>
      </w:pPr>
      <w:r>
        <w:rPr>
          <w:rFonts w:ascii="Times New Roman" w:hAnsi="Times New Roman"/>
          <w:color w:val="1F1F1F"/>
        </w:rPr>
        <w:t>实验事故（生物泄漏、人员暴露、火灾等）的应急联系人与处置流程；</w:t>
      </w:r>
    </w:p>
    <w:p w14:paraId="3822D2E3">
      <w:pPr>
        <w:pStyle w:val="20"/>
        <w:numPr>
          <w:ilvl w:val="0"/>
          <w:numId w:val="1"/>
        </w:numPr>
        <w:spacing w:before="60" w:after="60" w:line="360" w:lineRule="auto"/>
        <w:rPr>
          <w:rFonts w:ascii="Times New Roman" w:hAnsi="Times New Roman"/>
        </w:rPr>
      </w:pPr>
      <w:r>
        <w:rPr>
          <w:rFonts w:ascii="Times New Roman" w:hAnsi="Times New Roman"/>
          <w:color w:val="1F1F1F"/>
        </w:rPr>
        <w:t>实验记录与样本保存方式；</w:t>
      </w:r>
    </w:p>
    <w:p w14:paraId="2B0128C1">
      <w:pPr>
        <w:pStyle w:val="20"/>
        <w:numPr>
          <w:ilvl w:val="0"/>
          <w:numId w:val="1"/>
        </w:numPr>
        <w:spacing w:before="60" w:after="60" w:line="360" w:lineRule="auto"/>
        <w:rPr>
          <w:rFonts w:ascii="Times New Roman" w:hAnsi="Times New Roman"/>
        </w:rPr>
      </w:pPr>
      <w:r>
        <w:rPr>
          <w:rFonts w:ascii="Times New Roman" w:hAnsi="Times New Roman"/>
          <w:color w:val="1F1F1F"/>
        </w:rPr>
        <w:t>项目结题后的样本与数据销毁 / 归档方案。</w:t>
      </w:r>
    </w:p>
    <w:p w14:paraId="6685493B">
      <w:pPr>
        <w:rPr>
          <w:rFonts w:ascii="Times New Roman" w:hAnsi="Times New Roman"/>
        </w:rPr>
      </w:pPr>
      <w:r>
        <w:rPr>
          <w:rFonts w:ascii="Times New Roman" w:hAnsi="Times New Roman"/>
        </w:rPr>
        <w:br w:type="page"/>
      </w:r>
    </w:p>
    <w:p w14:paraId="22574376">
      <w:pPr>
        <w:pStyle w:val="3"/>
        <w:rPr>
          <w:rFonts w:ascii="Times New Roman" w:hAnsi="Times New Roman"/>
        </w:rPr>
      </w:pPr>
      <w:r>
        <w:rPr>
          <w:rFonts w:ascii="Times New Roman" w:hAnsi="Times New Roman"/>
        </w:rPr>
        <w:t>3.2　初步安全审批表填写模板</w:t>
      </w:r>
    </w:p>
    <w:p w14:paraId="08C3D658">
      <w:pPr>
        <w:spacing w:before="40" w:after="40"/>
        <w:rPr>
          <w:rFonts w:ascii="Times New Roman" w:hAnsi="Times New Roman"/>
        </w:rPr>
      </w:pPr>
    </w:p>
    <w:p w14:paraId="5C02A497">
      <w:pPr>
        <w:pStyle w:val="4"/>
        <w:rPr>
          <w:rFonts w:ascii="Times New Roman" w:hAnsi="Times New Roman"/>
        </w:rPr>
      </w:pPr>
      <w:r>
        <w:rPr>
          <w:rFonts w:ascii="Times New Roman" w:hAnsi="Times New Roman"/>
        </w:rPr>
        <w:t>A. 实验室基本情况</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23D6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6C711EA7">
            <w:pPr>
              <w:jc w:val="center"/>
              <w:rPr>
                <w:rFonts w:ascii="Times New Roman" w:hAnsi="Times New Roman"/>
              </w:rPr>
            </w:pPr>
            <w:r>
              <w:rPr>
                <w:rFonts w:ascii="Times New Roman" w:hAnsi="Times New Roman"/>
                <w:b/>
                <w:bCs/>
                <w:color w:val="FFFFFF"/>
              </w:rPr>
              <w:t>项目</w:t>
            </w:r>
          </w:p>
        </w:tc>
        <w:tc>
          <w:tcPr>
            <w:tcW w:w="596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4AB1D8CA">
            <w:pPr>
              <w:jc w:val="center"/>
              <w:rPr>
                <w:rFonts w:ascii="Times New Roman" w:hAnsi="Times New Roman"/>
              </w:rPr>
            </w:pPr>
            <w:r>
              <w:rPr>
                <w:rFonts w:ascii="Times New Roman" w:hAnsi="Times New Roman"/>
                <w:b/>
                <w:bCs/>
                <w:color w:val="FFFFFF"/>
              </w:rPr>
              <w:t>内容</w:t>
            </w:r>
          </w:p>
        </w:tc>
      </w:tr>
      <w:tr w14:paraId="382F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7B153022">
            <w:pPr>
              <w:spacing w:line="320" w:lineRule="auto"/>
              <w:rPr>
                <w:rFonts w:ascii="Times New Roman" w:hAnsi="Times New Roman"/>
              </w:rPr>
            </w:pPr>
            <w:r>
              <w:rPr>
                <w:rFonts w:ascii="Times New Roman" w:hAnsi="Times New Roman"/>
                <w:color w:val="1F1F1F"/>
              </w:rPr>
              <w:t>参赛队伍名称</w:t>
            </w:r>
          </w:p>
        </w:tc>
        <w:tc>
          <w:tcPr>
            <w:tcW w:w="59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76E48780">
            <w:pPr>
              <w:spacing w:line="320" w:lineRule="auto"/>
              <w:rPr>
                <w:rFonts w:ascii="Times New Roman" w:hAnsi="Times New Roman"/>
              </w:rPr>
            </w:pPr>
            <w:r>
              <w:rPr>
                <w:rFonts w:ascii="Times New Roman" w:hAnsi="Times New Roman"/>
                <w:color w:val="1F1F1F"/>
              </w:rPr>
              <w:t xml:space="preserve"> </w:t>
            </w:r>
            <w:r>
              <w:rPr>
                <w:rFonts w:ascii="宋体" w:hAnsi="宋体" w:eastAsia="宋体" w:cs="宋体"/>
                <w:sz w:val="24"/>
                <w:szCs w:val="24"/>
              </w:rPr>
              <w:t>BIT-China</w:t>
            </w:r>
          </w:p>
        </w:tc>
      </w:tr>
      <w:tr w14:paraId="615F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082FAFD9">
            <w:pPr>
              <w:spacing w:line="320" w:lineRule="auto"/>
              <w:rPr>
                <w:rFonts w:ascii="Times New Roman" w:hAnsi="Times New Roman"/>
              </w:rPr>
            </w:pPr>
            <w:r>
              <w:rPr>
                <w:rFonts w:ascii="Times New Roman" w:hAnsi="Times New Roman"/>
                <w:color w:val="1F1F1F"/>
              </w:rPr>
              <w:t>Primary PI 姓名</w:t>
            </w:r>
          </w:p>
        </w:tc>
        <w:tc>
          <w:tcPr>
            <w:tcW w:w="59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2879BD4C">
            <w:pPr>
              <w:spacing w:line="320" w:lineRule="auto"/>
              <w:rPr>
                <w:rFonts w:hint="eastAsia" w:ascii="Times New Roman" w:hAnsi="Times New Roman" w:eastAsia="宋体"/>
                <w:lang w:val="en-US" w:eastAsia="zh-CN"/>
              </w:rPr>
            </w:pPr>
            <w:r>
              <w:rPr>
                <w:rFonts w:ascii="Times New Roman" w:hAnsi="Times New Roman"/>
                <w:color w:val="1F1F1F"/>
              </w:rPr>
              <w:t xml:space="preserve"> </w:t>
            </w:r>
            <w:r>
              <w:rPr>
                <w:rFonts w:hint="eastAsia"/>
                <w:color w:val="1F1F1F"/>
                <w:lang w:val="en-US" w:eastAsia="zh-CN"/>
              </w:rPr>
              <w:t>胡冰</w:t>
            </w:r>
          </w:p>
        </w:tc>
      </w:tr>
      <w:tr w14:paraId="4E72C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36102759">
            <w:pPr>
              <w:spacing w:line="320" w:lineRule="auto"/>
              <w:rPr>
                <w:rFonts w:ascii="Times New Roman" w:hAnsi="Times New Roman"/>
              </w:rPr>
            </w:pPr>
            <w:r>
              <w:rPr>
                <w:rFonts w:ascii="Times New Roman" w:hAnsi="Times New Roman"/>
                <w:color w:val="1F1F1F"/>
              </w:rPr>
              <w:t>所属机构 / 院系</w:t>
            </w:r>
          </w:p>
        </w:tc>
        <w:tc>
          <w:tcPr>
            <w:tcW w:w="59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24C2563A">
            <w:pPr>
              <w:spacing w:line="320" w:lineRule="auto"/>
              <w:rPr>
                <w:rFonts w:hint="default" w:ascii="Times New Roman" w:hAnsi="Times New Roman" w:eastAsia="宋体"/>
                <w:lang w:val="en-US" w:eastAsia="zh-CN"/>
              </w:rPr>
            </w:pPr>
            <w:r>
              <w:rPr>
                <w:rFonts w:ascii="Times New Roman" w:hAnsi="Times New Roman"/>
                <w:color w:val="1F1F1F"/>
              </w:rPr>
              <w:t xml:space="preserve"> </w:t>
            </w:r>
            <w:r>
              <w:rPr>
                <w:rFonts w:hint="eastAsia"/>
                <w:color w:val="1F1F1F"/>
                <w:lang w:val="en-US" w:eastAsia="zh-CN"/>
              </w:rPr>
              <w:t>北京理工大学化学与化工学院</w:t>
            </w:r>
          </w:p>
        </w:tc>
      </w:tr>
      <w:tr w14:paraId="3BB7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236A51A4">
            <w:pPr>
              <w:spacing w:line="320" w:lineRule="auto"/>
              <w:rPr>
                <w:rFonts w:ascii="Times New Roman" w:hAnsi="Times New Roman"/>
              </w:rPr>
            </w:pPr>
            <w:r>
              <w:rPr>
                <w:rFonts w:ascii="Times New Roman" w:hAnsi="Times New Roman"/>
                <w:color w:val="1F1F1F"/>
              </w:rPr>
              <w:t>实验室具体地点</w:t>
            </w:r>
          </w:p>
        </w:tc>
        <w:tc>
          <w:tcPr>
            <w:tcW w:w="59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40CAB614">
            <w:pPr>
              <w:spacing w:line="320" w:lineRule="auto"/>
              <w:rPr>
                <w:rFonts w:hint="default" w:ascii="Times New Roman" w:hAnsi="Times New Roman" w:eastAsia="宋体"/>
                <w:lang w:val="en-US" w:eastAsia="zh-CN"/>
              </w:rPr>
            </w:pPr>
            <w:r>
              <w:rPr>
                <w:rFonts w:ascii="Times New Roman" w:hAnsi="Times New Roman"/>
                <w:color w:val="1F1F1F"/>
              </w:rPr>
              <w:t xml:space="preserve"> </w:t>
            </w:r>
            <w:r>
              <w:rPr>
                <w:rFonts w:hint="eastAsia"/>
                <w:color w:val="1F1F1F"/>
                <w:lang w:val="en-US" w:eastAsia="zh-CN"/>
              </w:rPr>
              <w:t>北京理工大学良乡校区</w:t>
            </w:r>
          </w:p>
        </w:tc>
      </w:tr>
      <w:tr w14:paraId="1FF9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9C96CEB">
            <w:pPr>
              <w:spacing w:line="320" w:lineRule="auto"/>
              <w:rPr>
                <w:rFonts w:ascii="Times New Roman" w:hAnsi="Times New Roman"/>
              </w:rPr>
            </w:pPr>
            <w:r>
              <w:rPr>
                <w:rFonts w:ascii="Times New Roman" w:hAnsi="Times New Roman"/>
                <w:color w:val="1F1F1F"/>
              </w:rPr>
              <w:t>实验室生物安全等级</w:t>
            </w:r>
          </w:p>
        </w:tc>
        <w:tc>
          <w:tcPr>
            <w:tcW w:w="59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F642559">
            <w:pPr>
              <w:spacing w:line="320" w:lineRule="auto"/>
              <w:rPr>
                <w:rFonts w:ascii="Times New Roman" w:hAnsi="Times New Roman"/>
              </w:rPr>
            </w:pPr>
            <w:r>
              <w:rPr>
                <w:rFonts w:hint="eastAsia"/>
                <w:color w:val="1F1F1F"/>
                <w:lang w:eastAsia="zh-CN"/>
              </w:rPr>
              <w:t>☑</w:t>
            </w:r>
            <w:r>
              <w:rPr>
                <w:rFonts w:ascii="Times New Roman" w:hAnsi="Times New Roman"/>
                <w:color w:val="1F1F1F"/>
              </w:rPr>
              <w:t xml:space="preserve"> BSL-1　　</w:t>
            </w:r>
            <w:r>
              <w:rPr>
                <w:rFonts w:hint="eastAsia"/>
                <w:color w:val="1F1F1F"/>
                <w:lang w:eastAsia="zh-CN"/>
              </w:rPr>
              <w:t>□</w:t>
            </w:r>
            <w:r>
              <w:rPr>
                <w:rFonts w:ascii="Times New Roman" w:hAnsi="Times New Roman"/>
                <w:color w:val="1F1F1F"/>
              </w:rPr>
              <w:t xml:space="preserve"> BSL-2</w:t>
            </w:r>
          </w:p>
        </w:tc>
      </w:tr>
      <w:tr w14:paraId="67C8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478BFC70">
            <w:pPr>
              <w:spacing w:line="320" w:lineRule="auto"/>
              <w:rPr>
                <w:rFonts w:ascii="Times New Roman" w:hAnsi="Times New Roman"/>
              </w:rPr>
            </w:pPr>
            <w:r>
              <w:rPr>
                <w:rFonts w:ascii="Times New Roman" w:hAnsi="Times New Roman"/>
                <w:color w:val="1F1F1F"/>
              </w:rPr>
              <w:t>实验室安全管理负责人</w:t>
            </w:r>
          </w:p>
        </w:tc>
        <w:tc>
          <w:tcPr>
            <w:tcW w:w="59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606041C8">
            <w:pPr>
              <w:spacing w:line="320" w:lineRule="auto"/>
              <w:rPr>
                <w:rFonts w:hint="default" w:ascii="Times New Roman" w:hAnsi="Times New Roman" w:eastAsia="宋体"/>
                <w:lang w:val="en-US" w:eastAsia="zh-CN"/>
              </w:rPr>
            </w:pPr>
            <w:r>
              <w:rPr>
                <w:rFonts w:ascii="Times New Roman" w:hAnsi="Times New Roman"/>
                <w:color w:val="1F1F1F"/>
              </w:rPr>
              <w:t xml:space="preserve"> </w:t>
            </w:r>
            <w:r>
              <w:rPr>
                <w:rFonts w:hint="eastAsia"/>
                <w:color w:val="1F1F1F"/>
                <w:lang w:val="en-US" w:eastAsia="zh-CN"/>
              </w:rPr>
              <w:t>徐士宸</w:t>
            </w:r>
          </w:p>
        </w:tc>
      </w:tr>
      <w:tr w14:paraId="656A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21C0DC6">
            <w:pPr>
              <w:spacing w:line="320" w:lineRule="auto"/>
              <w:rPr>
                <w:rFonts w:ascii="Times New Roman" w:hAnsi="Times New Roman"/>
              </w:rPr>
            </w:pPr>
            <w:r>
              <w:rPr>
                <w:rFonts w:ascii="Times New Roman" w:hAnsi="Times New Roman"/>
                <w:color w:val="1F1F1F"/>
              </w:rPr>
              <w:t>队员是否完成机构安全培训</w:t>
            </w:r>
          </w:p>
        </w:tc>
        <w:tc>
          <w:tcPr>
            <w:tcW w:w="59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9492059">
            <w:pPr>
              <w:spacing w:line="320" w:lineRule="auto"/>
              <w:rPr>
                <w:rFonts w:ascii="Times New Roman" w:hAnsi="Times New Roman"/>
              </w:rPr>
            </w:pPr>
            <w:r>
              <w:rPr>
                <w:rFonts w:hint="eastAsia"/>
                <w:color w:val="1F1F1F"/>
                <w:lang w:eastAsia="zh-CN"/>
              </w:rPr>
              <w:t>☑</w:t>
            </w:r>
            <w:r>
              <w:rPr>
                <w:rFonts w:ascii="Times New Roman" w:hAnsi="Times New Roman"/>
                <w:color w:val="1F1F1F"/>
              </w:rPr>
              <w:t xml:space="preserve"> 已全部完成　　□ 部分完成（请说明）　　□ 计划于 ____ 前完成</w:t>
            </w:r>
          </w:p>
        </w:tc>
      </w:tr>
    </w:tbl>
    <w:p w14:paraId="4DFD56F1">
      <w:pPr>
        <w:spacing w:before="40" w:after="40"/>
        <w:rPr>
          <w:rFonts w:ascii="Times New Roman" w:hAnsi="Times New Roman"/>
        </w:rPr>
      </w:pPr>
    </w:p>
    <w:p w14:paraId="0AFD2B21">
      <w:pPr>
        <w:pStyle w:val="4"/>
        <w:rPr>
          <w:rFonts w:ascii="Times New Roman" w:hAnsi="Times New Roman"/>
        </w:rPr>
      </w:pPr>
      <w:r>
        <w:rPr>
          <w:rFonts w:ascii="Times New Roman" w:hAnsi="Times New Roman"/>
        </w:rPr>
        <w:t>B. 拟使用的生物体清单</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900"/>
        <w:gridCol w:w="2200"/>
        <w:gridCol w:w="1600"/>
        <w:gridCol w:w="2160"/>
      </w:tblGrid>
      <w:tr w14:paraId="08C7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2D6C40B8">
            <w:pPr>
              <w:jc w:val="center"/>
              <w:rPr>
                <w:rFonts w:ascii="Times New Roman" w:hAnsi="Times New Roman"/>
              </w:rPr>
            </w:pPr>
            <w:r>
              <w:rPr>
                <w:rFonts w:ascii="Times New Roman" w:hAnsi="Times New Roman"/>
                <w:b/>
                <w:bCs/>
                <w:color w:val="FFFFFF"/>
              </w:rPr>
              <w:t>#</w:t>
            </w:r>
          </w:p>
        </w:tc>
        <w:tc>
          <w:tcPr>
            <w:tcW w:w="29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2CFBA15F">
            <w:pPr>
              <w:jc w:val="center"/>
              <w:rPr>
                <w:rFonts w:ascii="Times New Roman" w:hAnsi="Times New Roman"/>
              </w:rPr>
            </w:pPr>
            <w:r>
              <w:rPr>
                <w:rFonts w:ascii="Times New Roman" w:hAnsi="Times New Roman"/>
                <w:b/>
                <w:bCs/>
                <w:color w:val="FFFFFF"/>
              </w:rPr>
              <w:t>菌株 / 细胞系 / 载体名称</w:t>
            </w:r>
          </w:p>
        </w:tc>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4C6A7AC6">
            <w:pPr>
              <w:jc w:val="center"/>
              <w:rPr>
                <w:rFonts w:ascii="Times New Roman" w:hAnsi="Times New Roman"/>
              </w:rPr>
            </w:pPr>
            <w:r>
              <w:rPr>
                <w:rFonts w:ascii="Times New Roman" w:hAnsi="Times New Roman"/>
                <w:b/>
                <w:bCs/>
                <w:color w:val="FFFFFF"/>
              </w:rPr>
              <w:t>来源</w:t>
            </w:r>
          </w:p>
        </w:tc>
        <w:tc>
          <w:tcPr>
            <w:tcW w:w="16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2BF4DFCA">
            <w:pPr>
              <w:jc w:val="center"/>
              <w:rPr>
                <w:rFonts w:ascii="Times New Roman" w:hAnsi="Times New Roman"/>
              </w:rPr>
            </w:pPr>
            <w:r>
              <w:rPr>
                <w:rFonts w:ascii="Times New Roman" w:hAnsi="Times New Roman"/>
                <w:b/>
                <w:bCs/>
                <w:color w:val="FFFFFF"/>
              </w:rPr>
              <w:t>风险等级</w:t>
            </w:r>
          </w:p>
        </w:tc>
        <w:tc>
          <w:tcPr>
            <w:tcW w:w="216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6C3A0466">
            <w:pPr>
              <w:jc w:val="center"/>
              <w:rPr>
                <w:rFonts w:ascii="Times New Roman" w:hAnsi="Times New Roman"/>
              </w:rPr>
            </w:pPr>
            <w:r>
              <w:rPr>
                <w:rFonts w:ascii="Times New Roman" w:hAnsi="Times New Roman"/>
                <w:b/>
                <w:bCs/>
                <w:color w:val="FFFFFF"/>
              </w:rPr>
              <w:t>白名单内？</w:t>
            </w:r>
          </w:p>
        </w:tc>
      </w:tr>
      <w:tr w14:paraId="3665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6ECBE024">
            <w:pPr>
              <w:spacing w:line="320" w:lineRule="auto"/>
              <w:rPr>
                <w:rFonts w:ascii="Times New Roman" w:hAnsi="Times New Roman"/>
              </w:rPr>
            </w:pPr>
            <w:r>
              <w:rPr>
                <w:rFonts w:ascii="Times New Roman" w:hAnsi="Times New Roman"/>
                <w:color w:val="1F1F1F"/>
              </w:rPr>
              <w:t>1</w:t>
            </w:r>
          </w:p>
        </w:tc>
        <w:tc>
          <w:tcPr>
            <w:tcW w:w="29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E62BE04">
            <w:pPr>
              <w:spacing w:line="320" w:lineRule="auto"/>
              <w:rPr>
                <w:rFonts w:ascii="Times New Roman" w:hAnsi="Times New Roman"/>
              </w:rPr>
            </w:pPr>
            <w:r>
              <w:rPr>
                <w:rFonts w:ascii="Times New Roman" w:hAnsi="Times New Roman"/>
                <w:color w:val="1F1F1F"/>
              </w:rPr>
              <w:t xml:space="preserve"> </w:t>
            </w:r>
            <w:r>
              <w:rPr>
                <w:rFonts w:ascii="宋体" w:hAnsi="宋体" w:eastAsia="宋体" w:cs="宋体"/>
                <w:sz w:val="24"/>
                <w:szCs w:val="24"/>
              </w:rPr>
              <w:t>酿酒酵母 Saccharomyces cerevisiae</w:t>
            </w:r>
          </w:p>
        </w:tc>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4D20595F">
            <w:pPr>
              <w:spacing w:line="320" w:lineRule="auto"/>
              <w:rPr>
                <w:rFonts w:hint="default" w:ascii="Times New Roman" w:hAnsi="Times New Roman" w:eastAsia="宋体"/>
                <w:lang w:val="en-US" w:eastAsia="zh-CN"/>
              </w:rPr>
            </w:pPr>
            <w:r>
              <w:rPr>
                <w:rFonts w:ascii="Times New Roman" w:hAnsi="Times New Roman"/>
                <w:color w:val="1F1F1F"/>
              </w:rPr>
              <w:t xml:space="preserve"> </w:t>
            </w:r>
            <w:r>
              <w:rPr>
                <w:rFonts w:hint="eastAsia"/>
                <w:color w:val="1F1F1F"/>
                <w:lang w:val="en-US" w:eastAsia="zh-CN"/>
              </w:rPr>
              <w:t>商业来源</w:t>
            </w:r>
          </w:p>
        </w:tc>
        <w:tc>
          <w:tcPr>
            <w:tcW w:w="1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6D117B02">
            <w:pPr>
              <w:spacing w:line="320" w:lineRule="auto"/>
              <w:rPr>
                <w:rFonts w:ascii="Times New Roman" w:hAnsi="Times New Roman"/>
              </w:rPr>
            </w:pPr>
            <w:r>
              <w:rPr>
                <w:rFonts w:ascii="Times New Roman" w:hAnsi="Times New Roman"/>
                <w:color w:val="1F1F1F"/>
              </w:rPr>
              <w:t>RG1</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2A8F256">
            <w:pPr>
              <w:spacing w:line="320" w:lineRule="auto"/>
              <w:rPr>
                <w:rFonts w:ascii="Times New Roman" w:hAnsi="Times New Roman"/>
              </w:rPr>
            </w:pPr>
            <w:r>
              <w:rPr>
                <w:rFonts w:hint="eastAsia"/>
                <w:color w:val="1F1F1F"/>
                <w:lang w:eastAsia="zh-CN"/>
              </w:rPr>
              <w:t>☑</w:t>
            </w:r>
            <w:r>
              <w:rPr>
                <w:rFonts w:ascii="Times New Roman" w:hAnsi="Times New Roman"/>
                <w:color w:val="1F1F1F"/>
              </w:rPr>
              <w:t xml:space="preserve"> 是　□ 否</w:t>
            </w:r>
          </w:p>
        </w:tc>
      </w:tr>
      <w:tr w14:paraId="5315E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77E0FE9B">
            <w:pPr>
              <w:spacing w:line="320" w:lineRule="auto"/>
              <w:rPr>
                <w:rFonts w:ascii="Times New Roman" w:hAnsi="Times New Roman"/>
              </w:rPr>
            </w:pPr>
            <w:r>
              <w:rPr>
                <w:rFonts w:ascii="Times New Roman" w:hAnsi="Times New Roman"/>
                <w:color w:val="1F1F1F"/>
              </w:rPr>
              <w:t>2</w:t>
            </w:r>
          </w:p>
        </w:tc>
        <w:tc>
          <w:tcPr>
            <w:tcW w:w="29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0D946730">
            <w:pPr>
              <w:spacing w:line="320" w:lineRule="auto"/>
              <w:rPr>
                <w:rFonts w:ascii="Times New Roman" w:hAnsi="Times New Roman"/>
              </w:rPr>
            </w:pPr>
            <w:r>
              <w:rPr>
                <w:rFonts w:ascii="Times New Roman" w:hAnsi="Times New Roman"/>
                <w:color w:val="1F1F1F"/>
              </w:rPr>
              <w:t xml:space="preserve"> </w:t>
            </w:r>
            <w:r>
              <w:rPr>
                <w:rFonts w:ascii="宋体" w:hAnsi="宋体" w:eastAsia="宋体" w:cs="宋体"/>
                <w:sz w:val="24"/>
                <w:szCs w:val="24"/>
              </w:rPr>
              <w:t>大肠杆菌 Escherichia coli BL21(DE3)</w:t>
            </w:r>
          </w:p>
        </w:tc>
        <w:tc>
          <w:tcPr>
            <w:tcW w:w="22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11475F0D">
            <w:pPr>
              <w:spacing w:line="320" w:lineRule="auto"/>
              <w:rPr>
                <w:rFonts w:ascii="Times New Roman" w:hAnsi="Times New Roman"/>
              </w:rPr>
            </w:pPr>
            <w:r>
              <w:rPr>
                <w:rFonts w:ascii="Times New Roman" w:hAnsi="Times New Roman"/>
                <w:color w:val="1F1F1F"/>
              </w:rPr>
              <w:t xml:space="preserve"> </w:t>
            </w:r>
            <w:r>
              <w:rPr>
                <w:rFonts w:hint="eastAsia"/>
                <w:color w:val="1F1F1F"/>
                <w:lang w:val="en-US" w:eastAsia="zh-CN"/>
              </w:rPr>
              <w:t>商业来源</w:t>
            </w:r>
          </w:p>
        </w:tc>
        <w:tc>
          <w:tcPr>
            <w:tcW w:w="16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7A163B8D">
            <w:pPr>
              <w:spacing w:line="320" w:lineRule="auto"/>
              <w:rPr>
                <w:rFonts w:ascii="Times New Roman" w:hAnsi="Times New Roman"/>
              </w:rPr>
            </w:pPr>
            <w:r>
              <w:rPr>
                <w:rFonts w:ascii="Times New Roman" w:hAnsi="Times New Roman"/>
                <w:color w:val="1F1F1F"/>
              </w:rPr>
              <w:t>RG1</w:t>
            </w:r>
          </w:p>
        </w:tc>
        <w:tc>
          <w:tcPr>
            <w:tcW w:w="21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41F79B84">
            <w:pPr>
              <w:spacing w:line="320" w:lineRule="auto"/>
              <w:rPr>
                <w:rFonts w:ascii="Times New Roman" w:hAnsi="Times New Roman"/>
              </w:rPr>
            </w:pPr>
            <w:r>
              <w:rPr>
                <w:rFonts w:hint="eastAsia"/>
                <w:color w:val="1F1F1F"/>
                <w:lang w:eastAsia="zh-CN"/>
              </w:rPr>
              <w:t>☑</w:t>
            </w:r>
            <w:r>
              <w:rPr>
                <w:rFonts w:ascii="Times New Roman" w:hAnsi="Times New Roman"/>
                <w:color w:val="1F1F1F"/>
              </w:rPr>
              <w:t xml:space="preserve"> 是　□ 否</w:t>
            </w:r>
          </w:p>
        </w:tc>
      </w:tr>
      <w:tr w14:paraId="3478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09E08326">
            <w:pPr>
              <w:spacing w:line="320" w:lineRule="auto"/>
              <w:rPr>
                <w:rFonts w:ascii="Times New Roman" w:hAnsi="Times New Roman"/>
              </w:rPr>
            </w:pPr>
            <w:r>
              <w:rPr>
                <w:rFonts w:ascii="Times New Roman" w:hAnsi="Times New Roman"/>
                <w:color w:val="1F1F1F"/>
              </w:rPr>
              <w:t>3</w:t>
            </w:r>
          </w:p>
        </w:tc>
        <w:tc>
          <w:tcPr>
            <w:tcW w:w="29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0513FDA2">
            <w:pPr>
              <w:spacing w:line="320" w:lineRule="auto"/>
              <w:rPr>
                <w:rFonts w:ascii="Times New Roman" w:hAnsi="Times New Roman"/>
              </w:rPr>
            </w:pPr>
            <w:r>
              <w:rPr>
                <w:rFonts w:ascii="Times New Roman" w:hAnsi="Times New Roman"/>
                <w:color w:val="1F1F1F"/>
              </w:rPr>
              <w:t xml:space="preserve"> </w:t>
            </w:r>
            <w:r>
              <w:rPr>
                <w:rFonts w:ascii="宋体" w:hAnsi="宋体" w:eastAsia="宋体" w:cs="宋体"/>
                <w:sz w:val="24"/>
                <w:szCs w:val="24"/>
              </w:rPr>
              <w:t>大肠杆菌 Escherichia coli DH5α</w:t>
            </w:r>
          </w:p>
        </w:tc>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6AF5E57F">
            <w:pPr>
              <w:spacing w:line="320" w:lineRule="auto"/>
              <w:rPr>
                <w:rFonts w:ascii="Times New Roman" w:hAnsi="Times New Roman"/>
              </w:rPr>
            </w:pPr>
            <w:r>
              <w:rPr>
                <w:rFonts w:ascii="Times New Roman" w:hAnsi="Times New Roman"/>
                <w:color w:val="1F1F1F"/>
              </w:rPr>
              <w:t xml:space="preserve"> </w:t>
            </w:r>
            <w:r>
              <w:rPr>
                <w:rFonts w:hint="eastAsia"/>
                <w:color w:val="1F1F1F"/>
                <w:lang w:val="en-US" w:eastAsia="zh-CN"/>
              </w:rPr>
              <w:t>商业来源</w:t>
            </w:r>
          </w:p>
        </w:tc>
        <w:tc>
          <w:tcPr>
            <w:tcW w:w="1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76723B6F">
            <w:pPr>
              <w:spacing w:line="320" w:lineRule="auto"/>
              <w:rPr>
                <w:rFonts w:ascii="Times New Roman" w:hAnsi="Times New Roman"/>
              </w:rPr>
            </w:pPr>
            <w:r>
              <w:rPr>
                <w:rFonts w:ascii="Times New Roman" w:hAnsi="Times New Roman"/>
                <w:color w:val="1F1F1F"/>
              </w:rPr>
              <w:t xml:space="preserve">RG1 </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75F0CBC">
            <w:pPr>
              <w:spacing w:line="320" w:lineRule="auto"/>
              <w:rPr>
                <w:rFonts w:ascii="Times New Roman" w:hAnsi="Times New Roman"/>
              </w:rPr>
            </w:pPr>
            <w:r>
              <w:rPr>
                <w:rFonts w:hint="eastAsia"/>
                <w:color w:val="1F1F1F"/>
                <w:lang w:eastAsia="zh-CN"/>
              </w:rPr>
              <w:t>☑</w:t>
            </w:r>
            <w:r>
              <w:rPr>
                <w:rFonts w:ascii="Times New Roman" w:hAnsi="Times New Roman"/>
                <w:color w:val="1F1F1F"/>
              </w:rPr>
              <w:t xml:space="preserve"> 是　□ 否</w:t>
            </w:r>
          </w:p>
        </w:tc>
      </w:tr>
      <w:tr w14:paraId="78B2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6DCA2138">
            <w:pPr>
              <w:spacing w:line="320" w:lineRule="auto"/>
              <w:rPr>
                <w:rFonts w:hint="eastAsia" w:ascii="Times New Roman" w:hAnsi="Times New Roman" w:eastAsia="宋体"/>
                <w:color w:val="1F1F1F"/>
                <w:lang w:val="en-US" w:eastAsia="zh-CN"/>
              </w:rPr>
            </w:pPr>
            <w:r>
              <w:rPr>
                <w:rFonts w:hint="eastAsia"/>
                <w:color w:val="1F1F1F"/>
                <w:lang w:val="en-US" w:eastAsia="zh-CN"/>
              </w:rPr>
              <w:t>4</w:t>
            </w:r>
          </w:p>
        </w:tc>
        <w:tc>
          <w:tcPr>
            <w:tcW w:w="29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DE83420">
            <w:pPr>
              <w:spacing w:line="320" w:lineRule="auto"/>
              <w:rPr>
                <w:rFonts w:ascii="Times New Roman" w:hAnsi="Times New Roman"/>
                <w:color w:val="1F1F1F"/>
              </w:rPr>
            </w:pPr>
            <w:r>
              <w:rPr>
                <w:rFonts w:ascii="宋体" w:hAnsi="宋体" w:eastAsia="宋体" w:cs="宋体"/>
                <w:sz w:val="24"/>
                <w:szCs w:val="24"/>
              </w:rPr>
              <w:t>pET-28a 质粒</w:t>
            </w:r>
          </w:p>
        </w:tc>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484FCCF1">
            <w:pPr>
              <w:spacing w:line="320" w:lineRule="auto"/>
              <w:rPr>
                <w:rFonts w:ascii="Times New Roman" w:hAnsi="Times New Roman"/>
                <w:color w:val="1F1F1F"/>
              </w:rPr>
            </w:pPr>
            <w:r>
              <w:rPr>
                <w:rFonts w:hint="eastAsia"/>
                <w:color w:val="1F1F1F"/>
                <w:lang w:val="en-US" w:eastAsia="zh-CN"/>
              </w:rPr>
              <w:t>商业来源</w:t>
            </w:r>
          </w:p>
        </w:tc>
        <w:tc>
          <w:tcPr>
            <w:tcW w:w="1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051E215A">
            <w:pPr>
              <w:spacing w:line="320" w:lineRule="auto"/>
              <w:rPr>
                <w:rFonts w:ascii="Times New Roman" w:hAnsi="Times New Roman"/>
                <w:color w:val="1F1F1F"/>
              </w:rPr>
            </w:pPr>
            <w:r>
              <w:rPr>
                <w:rFonts w:ascii="Times New Roman" w:hAnsi="Times New Roman"/>
                <w:color w:val="1F1F1F"/>
              </w:rPr>
              <w:t>RG1</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9BFE6A1">
            <w:pPr>
              <w:spacing w:line="320" w:lineRule="auto"/>
              <w:rPr>
                <w:rFonts w:ascii="Times New Roman" w:hAnsi="Times New Roman"/>
                <w:color w:val="1F1F1F"/>
              </w:rPr>
            </w:pPr>
            <w:r>
              <w:rPr>
                <w:rFonts w:hint="eastAsia"/>
                <w:color w:val="1F1F1F"/>
                <w:lang w:eastAsia="zh-CN"/>
              </w:rPr>
              <w:t>☑</w:t>
            </w:r>
            <w:r>
              <w:rPr>
                <w:rFonts w:ascii="Times New Roman" w:hAnsi="Times New Roman"/>
                <w:color w:val="1F1F1F"/>
              </w:rPr>
              <w:t xml:space="preserve"> 是　□ 否</w:t>
            </w:r>
          </w:p>
        </w:tc>
      </w:tr>
      <w:tr w14:paraId="4EF4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8434AEB">
            <w:pPr>
              <w:spacing w:line="320" w:lineRule="auto"/>
              <w:rPr>
                <w:rFonts w:hint="eastAsia" w:ascii="Times New Roman" w:hAnsi="Times New Roman" w:eastAsia="宋体"/>
                <w:color w:val="1F1F1F"/>
                <w:lang w:val="en-US" w:eastAsia="zh-CN"/>
              </w:rPr>
            </w:pPr>
            <w:r>
              <w:rPr>
                <w:rFonts w:hint="eastAsia"/>
                <w:color w:val="1F1F1F"/>
                <w:lang w:val="en-US" w:eastAsia="zh-CN"/>
              </w:rPr>
              <w:t>5</w:t>
            </w:r>
          </w:p>
        </w:tc>
        <w:tc>
          <w:tcPr>
            <w:tcW w:w="29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323A2239">
            <w:pPr>
              <w:spacing w:line="320" w:lineRule="auto"/>
              <w:rPr>
                <w:rFonts w:ascii="Times New Roman" w:hAnsi="Times New Roman"/>
                <w:color w:val="1F1F1F"/>
              </w:rPr>
            </w:pPr>
            <w:r>
              <w:rPr>
                <w:rFonts w:ascii="宋体" w:hAnsi="宋体" w:eastAsia="宋体" w:cs="宋体"/>
                <w:sz w:val="24"/>
                <w:szCs w:val="24"/>
              </w:rPr>
              <w:t>酵母穿梭质粒</w:t>
            </w:r>
          </w:p>
        </w:tc>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115B53F">
            <w:pPr>
              <w:spacing w:line="320" w:lineRule="auto"/>
              <w:rPr>
                <w:rFonts w:ascii="Times New Roman" w:hAnsi="Times New Roman"/>
                <w:color w:val="1F1F1F"/>
              </w:rPr>
            </w:pPr>
            <w:r>
              <w:rPr>
                <w:rFonts w:hint="eastAsia"/>
                <w:color w:val="1F1F1F"/>
                <w:lang w:val="en-US" w:eastAsia="zh-CN"/>
              </w:rPr>
              <w:t>商业来源</w:t>
            </w:r>
          </w:p>
        </w:tc>
        <w:tc>
          <w:tcPr>
            <w:tcW w:w="1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F05BF36">
            <w:pPr>
              <w:spacing w:line="320" w:lineRule="auto"/>
              <w:rPr>
                <w:rFonts w:ascii="Times New Roman" w:hAnsi="Times New Roman"/>
                <w:color w:val="1F1F1F"/>
              </w:rPr>
            </w:pPr>
            <w:r>
              <w:rPr>
                <w:rFonts w:ascii="Times New Roman" w:hAnsi="Times New Roman"/>
                <w:color w:val="1F1F1F"/>
              </w:rPr>
              <w:t>RG1</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8859119">
            <w:pPr>
              <w:spacing w:line="320" w:lineRule="auto"/>
              <w:rPr>
                <w:rFonts w:ascii="Times New Roman" w:hAnsi="Times New Roman"/>
                <w:color w:val="1F1F1F"/>
              </w:rPr>
            </w:pPr>
            <w:r>
              <w:rPr>
                <w:rFonts w:hint="eastAsia"/>
                <w:color w:val="1F1F1F"/>
                <w:lang w:eastAsia="zh-CN"/>
              </w:rPr>
              <w:t>☑</w:t>
            </w:r>
            <w:r>
              <w:rPr>
                <w:rFonts w:ascii="Times New Roman" w:hAnsi="Times New Roman"/>
                <w:color w:val="1F1F1F"/>
              </w:rPr>
              <w:t xml:space="preserve"> 是　□ 否</w:t>
            </w:r>
          </w:p>
        </w:tc>
      </w:tr>
    </w:tbl>
    <w:p w14:paraId="702E9C89">
      <w:pPr>
        <w:spacing w:before="20" w:after="20"/>
        <w:rPr>
          <w:rFonts w:ascii="Times New Roman" w:hAnsi="Times New Roman"/>
        </w:rPr>
      </w:pPr>
    </w:p>
    <w:p w14:paraId="72316826">
      <w:pPr>
        <w:spacing w:before="100" w:after="100" w:line="380" w:lineRule="auto"/>
        <w:jc w:val="both"/>
        <w:rPr>
          <w:rFonts w:ascii="Times New Roman" w:hAnsi="Times New Roman"/>
        </w:rPr>
      </w:pPr>
      <w:r>
        <w:rPr>
          <w:rFonts w:ascii="Times New Roman" w:hAnsi="Times New Roman"/>
          <w:color w:val="595959"/>
          <w:sz w:val="20"/>
          <w:szCs w:val="20"/>
        </w:rPr>
        <w:t>如行数不足，请自行复制扩展。</w:t>
      </w:r>
    </w:p>
    <w:p w14:paraId="6C75677F">
      <w:pPr>
        <w:spacing w:before="40" w:after="40"/>
        <w:rPr>
          <w:rFonts w:ascii="Times New Roman" w:hAnsi="Times New Roman"/>
        </w:rPr>
      </w:pPr>
    </w:p>
    <w:p w14:paraId="54F80801">
      <w:pPr>
        <w:spacing w:before="40" w:after="40"/>
        <w:rPr>
          <w:rFonts w:ascii="Times New Roman" w:hAnsi="Times New Roman"/>
        </w:rPr>
      </w:pPr>
    </w:p>
    <w:p w14:paraId="6F107057">
      <w:pPr>
        <w:pStyle w:val="4"/>
        <w:rPr>
          <w:rFonts w:ascii="Times New Roman" w:hAnsi="Times New Roman"/>
        </w:rPr>
      </w:pPr>
      <w:r>
        <w:rPr>
          <w:rFonts w:ascii="Times New Roman" w:hAnsi="Times New Roman"/>
        </w:rPr>
        <w:t>C. 预审批事项核查表（重点）</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700"/>
        <w:gridCol w:w="1700"/>
        <w:gridCol w:w="3360"/>
      </w:tblGrid>
      <w:tr w14:paraId="7A5F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64B2A786">
            <w:pPr>
              <w:jc w:val="center"/>
              <w:rPr>
                <w:rFonts w:ascii="Times New Roman" w:hAnsi="Times New Roman"/>
              </w:rPr>
            </w:pPr>
            <w:r>
              <w:rPr>
                <w:rFonts w:ascii="Times New Roman" w:hAnsi="Times New Roman"/>
                <w:b/>
                <w:bCs/>
                <w:color w:val="FFFFFF"/>
              </w:rPr>
              <w:t>#</w:t>
            </w:r>
          </w:p>
        </w:tc>
        <w:tc>
          <w:tcPr>
            <w:tcW w:w="37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34D1AB81">
            <w:pPr>
              <w:jc w:val="center"/>
              <w:rPr>
                <w:rFonts w:ascii="Times New Roman" w:hAnsi="Times New Roman"/>
              </w:rPr>
            </w:pPr>
            <w:r>
              <w:rPr>
                <w:rFonts w:ascii="Times New Roman" w:hAnsi="Times New Roman"/>
                <w:b/>
                <w:bCs/>
                <w:color w:val="FFFFFF"/>
              </w:rPr>
              <w:t>事项</w:t>
            </w:r>
          </w:p>
        </w:tc>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6AAD35F3">
            <w:pPr>
              <w:jc w:val="center"/>
              <w:rPr>
                <w:rFonts w:ascii="Times New Roman" w:hAnsi="Times New Roman"/>
              </w:rPr>
            </w:pPr>
            <w:r>
              <w:rPr>
                <w:rFonts w:ascii="Times New Roman" w:hAnsi="Times New Roman"/>
                <w:b/>
                <w:bCs/>
                <w:color w:val="FFFFFF"/>
              </w:rPr>
              <w:t>是否涉及</w:t>
            </w:r>
          </w:p>
        </w:tc>
        <w:tc>
          <w:tcPr>
            <w:tcW w:w="336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11FB8D10">
            <w:pPr>
              <w:jc w:val="center"/>
              <w:rPr>
                <w:rFonts w:ascii="Times New Roman" w:hAnsi="Times New Roman"/>
              </w:rPr>
            </w:pPr>
            <w:r>
              <w:rPr>
                <w:rFonts w:ascii="Times New Roman" w:hAnsi="Times New Roman"/>
                <w:b/>
                <w:bCs/>
                <w:color w:val="FFFFFF"/>
              </w:rPr>
              <w:t>如"是"，简要说明</w:t>
            </w:r>
          </w:p>
        </w:tc>
      </w:tr>
      <w:tr w14:paraId="54054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36210FD7">
            <w:pPr>
              <w:spacing w:line="320" w:lineRule="auto"/>
              <w:rPr>
                <w:rFonts w:ascii="Times New Roman" w:hAnsi="Times New Roman"/>
              </w:rPr>
            </w:pPr>
            <w:r>
              <w:rPr>
                <w:rFonts w:ascii="Times New Roman" w:hAnsi="Times New Roman"/>
                <w:color w:val="1F1F1F"/>
              </w:rPr>
              <w:t>C1</w:t>
            </w:r>
          </w:p>
        </w:tc>
        <w:tc>
          <w:tcPr>
            <w:tcW w:w="37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2D697AC1">
            <w:pPr>
              <w:spacing w:line="320" w:lineRule="auto"/>
              <w:rPr>
                <w:rFonts w:ascii="Times New Roman" w:hAnsi="Times New Roman"/>
              </w:rPr>
            </w:pPr>
            <w:r>
              <w:rPr>
                <w:rFonts w:ascii="Times New Roman" w:hAnsi="Times New Roman"/>
                <w:color w:val="1F1F1F"/>
              </w:rPr>
              <w:t>脊椎动物 / 高级无脊椎动物（含组织、血液、唾液样本）</w:t>
            </w:r>
          </w:p>
        </w:tc>
        <w:tc>
          <w:tcPr>
            <w:tcW w:w="17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42971B2D">
            <w:pPr>
              <w:spacing w:line="320" w:lineRule="auto"/>
              <w:rPr>
                <w:rFonts w:ascii="Times New Roman" w:hAnsi="Times New Roman"/>
              </w:rPr>
            </w:pPr>
            <w:r>
              <w:rPr>
                <w:rFonts w:ascii="Times New Roman" w:hAnsi="Times New Roman"/>
                <w:color w:val="1F1F1F"/>
              </w:rPr>
              <w:t>□ 是　</w:t>
            </w:r>
            <w:r>
              <w:rPr>
                <w:rFonts w:hint="eastAsia" w:ascii="Times New Roman" w:hAnsi="Times New Roman"/>
                <w:color w:val="1F1F1F"/>
                <w:lang w:eastAsia="zh-CN"/>
              </w:rPr>
              <w:t>☑</w:t>
            </w:r>
            <w:r>
              <w:rPr>
                <w:rFonts w:ascii="Times New Roman" w:hAnsi="Times New Roman"/>
                <w:color w:val="1F1F1F"/>
              </w:rPr>
              <w:t xml:space="preserve"> 否</w:t>
            </w:r>
          </w:p>
        </w:tc>
        <w:tc>
          <w:tcPr>
            <w:tcW w:w="3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39FA57C1">
            <w:pPr>
              <w:spacing w:line="320" w:lineRule="auto"/>
              <w:rPr>
                <w:rFonts w:ascii="Times New Roman" w:hAnsi="Times New Roman"/>
              </w:rPr>
            </w:pPr>
            <w:r>
              <w:rPr>
                <w:rFonts w:ascii="Times New Roman" w:hAnsi="Times New Roman"/>
                <w:color w:val="1F1F1F"/>
              </w:rPr>
              <w:t xml:space="preserve"> </w:t>
            </w:r>
          </w:p>
        </w:tc>
      </w:tr>
      <w:tr w14:paraId="1A5B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69C4CC15">
            <w:pPr>
              <w:spacing w:line="320" w:lineRule="auto"/>
              <w:rPr>
                <w:rFonts w:ascii="Times New Roman" w:hAnsi="Times New Roman"/>
              </w:rPr>
            </w:pPr>
            <w:r>
              <w:rPr>
                <w:rFonts w:ascii="Times New Roman" w:hAnsi="Times New Roman"/>
                <w:color w:val="1F1F1F"/>
              </w:rPr>
              <w:t>C2</w:t>
            </w:r>
          </w:p>
        </w:tc>
        <w:tc>
          <w:tcPr>
            <w:tcW w:w="37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3DD635C5">
            <w:pPr>
              <w:spacing w:line="320" w:lineRule="auto"/>
              <w:rPr>
                <w:rFonts w:ascii="Times New Roman" w:hAnsi="Times New Roman"/>
              </w:rPr>
            </w:pPr>
            <w:r>
              <w:rPr>
                <w:rFonts w:ascii="Times New Roman" w:hAnsi="Times New Roman"/>
                <w:color w:val="1F1F1F"/>
              </w:rPr>
              <w:t>基因驱动（Gene Drives）</w:t>
            </w:r>
          </w:p>
        </w:tc>
        <w:tc>
          <w:tcPr>
            <w:tcW w:w="17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5DD98EDF">
            <w:pPr>
              <w:spacing w:line="320" w:lineRule="auto"/>
              <w:rPr>
                <w:rFonts w:ascii="Times New Roman" w:hAnsi="Times New Roman"/>
              </w:rPr>
            </w:pPr>
            <w:r>
              <w:rPr>
                <w:rFonts w:ascii="Times New Roman" w:hAnsi="Times New Roman"/>
                <w:color w:val="1F1F1F"/>
              </w:rPr>
              <w:t>□ 是　</w:t>
            </w:r>
            <w:r>
              <w:rPr>
                <w:rFonts w:hint="eastAsia"/>
                <w:color w:val="1F1F1F"/>
                <w:lang w:eastAsia="zh-CN"/>
              </w:rPr>
              <w:t>☑</w:t>
            </w:r>
            <w:r>
              <w:rPr>
                <w:rFonts w:ascii="Times New Roman" w:hAnsi="Times New Roman"/>
                <w:color w:val="1F1F1F"/>
              </w:rPr>
              <w:t xml:space="preserve"> 否</w:t>
            </w:r>
          </w:p>
        </w:tc>
        <w:tc>
          <w:tcPr>
            <w:tcW w:w="33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7E4AE5B6">
            <w:pPr>
              <w:spacing w:line="320" w:lineRule="auto"/>
              <w:rPr>
                <w:rFonts w:ascii="Times New Roman" w:hAnsi="Times New Roman"/>
              </w:rPr>
            </w:pPr>
            <w:r>
              <w:rPr>
                <w:rFonts w:ascii="Times New Roman" w:hAnsi="Times New Roman"/>
                <w:color w:val="1F1F1F"/>
              </w:rPr>
              <w:t xml:space="preserve"> </w:t>
            </w:r>
          </w:p>
        </w:tc>
      </w:tr>
      <w:tr w14:paraId="7B973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42B54E42">
            <w:pPr>
              <w:spacing w:line="320" w:lineRule="auto"/>
              <w:rPr>
                <w:rFonts w:ascii="Times New Roman" w:hAnsi="Times New Roman"/>
              </w:rPr>
            </w:pPr>
            <w:r>
              <w:rPr>
                <w:rFonts w:ascii="Times New Roman" w:hAnsi="Times New Roman"/>
                <w:color w:val="1F1F1F"/>
              </w:rPr>
              <w:t>C3</w:t>
            </w:r>
          </w:p>
        </w:tc>
        <w:tc>
          <w:tcPr>
            <w:tcW w:w="37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40881F21">
            <w:pPr>
              <w:spacing w:line="320" w:lineRule="auto"/>
              <w:rPr>
                <w:rFonts w:ascii="Times New Roman" w:hAnsi="Times New Roman"/>
              </w:rPr>
            </w:pPr>
            <w:r>
              <w:rPr>
                <w:rFonts w:ascii="Times New Roman" w:hAnsi="Times New Roman"/>
                <w:color w:val="1F1F1F"/>
              </w:rPr>
              <w:t>抗生素耐药性（AMR）相关元件</w:t>
            </w:r>
          </w:p>
        </w:tc>
        <w:tc>
          <w:tcPr>
            <w:tcW w:w="17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411F1712">
            <w:pPr>
              <w:spacing w:line="320" w:lineRule="auto"/>
              <w:rPr>
                <w:rFonts w:ascii="Times New Roman" w:hAnsi="Times New Roman"/>
              </w:rPr>
            </w:pPr>
            <w:r>
              <w:rPr>
                <w:rFonts w:hint="eastAsia"/>
                <w:color w:val="1F1F1F"/>
                <w:lang w:eastAsia="zh-CN"/>
              </w:rPr>
              <w:t>□</w:t>
            </w:r>
            <w:r>
              <w:rPr>
                <w:rFonts w:ascii="Times New Roman" w:hAnsi="Times New Roman"/>
                <w:color w:val="1F1F1F"/>
              </w:rPr>
              <w:t xml:space="preserve"> 是　</w:t>
            </w:r>
            <w:r>
              <w:rPr>
                <w:rFonts w:hint="eastAsia"/>
                <w:color w:val="1F1F1F"/>
                <w:lang w:eastAsia="zh-CN"/>
              </w:rPr>
              <w:t>☑</w:t>
            </w:r>
            <w:r>
              <w:rPr>
                <w:rFonts w:ascii="Times New Roman" w:hAnsi="Times New Roman"/>
                <w:color w:val="1F1F1F"/>
              </w:rPr>
              <w:t xml:space="preserve"> 否</w:t>
            </w:r>
          </w:p>
        </w:tc>
        <w:tc>
          <w:tcPr>
            <w:tcW w:w="3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60C4DE76">
            <w:pPr>
              <w:spacing w:line="320" w:lineRule="auto"/>
              <w:rPr>
                <w:rFonts w:hint="default" w:ascii="Times New Roman" w:hAnsi="Times New Roman" w:eastAsia="宋体"/>
                <w:lang w:val="en-US" w:eastAsia="zh-CN"/>
              </w:rPr>
            </w:pPr>
          </w:p>
        </w:tc>
      </w:tr>
      <w:tr w14:paraId="5412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72E49C0B">
            <w:pPr>
              <w:spacing w:line="320" w:lineRule="auto"/>
              <w:rPr>
                <w:rFonts w:ascii="Times New Roman" w:hAnsi="Times New Roman"/>
              </w:rPr>
            </w:pPr>
            <w:r>
              <w:rPr>
                <w:rFonts w:ascii="Times New Roman" w:hAnsi="Times New Roman"/>
                <w:color w:val="1F1F1F"/>
              </w:rPr>
              <w:t>C4</w:t>
            </w:r>
          </w:p>
        </w:tc>
        <w:tc>
          <w:tcPr>
            <w:tcW w:w="37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4743405E">
            <w:pPr>
              <w:spacing w:line="320" w:lineRule="auto"/>
              <w:rPr>
                <w:rFonts w:ascii="Times New Roman" w:hAnsi="Times New Roman"/>
              </w:rPr>
            </w:pPr>
            <w:r>
              <w:rPr>
                <w:rFonts w:ascii="Times New Roman" w:hAnsi="Times New Roman"/>
                <w:color w:val="1F1F1F"/>
              </w:rPr>
              <w:t>高致病性病原体相关序列</w:t>
            </w:r>
          </w:p>
        </w:tc>
        <w:tc>
          <w:tcPr>
            <w:tcW w:w="17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7A091F0D">
            <w:pPr>
              <w:spacing w:line="320" w:lineRule="auto"/>
              <w:rPr>
                <w:rFonts w:ascii="Times New Roman" w:hAnsi="Times New Roman"/>
              </w:rPr>
            </w:pPr>
            <w:r>
              <w:rPr>
                <w:rFonts w:ascii="Times New Roman" w:hAnsi="Times New Roman"/>
                <w:color w:val="1F1F1F"/>
              </w:rPr>
              <w:t>□ 是　</w:t>
            </w:r>
            <w:r>
              <w:rPr>
                <w:rFonts w:hint="eastAsia"/>
                <w:color w:val="1F1F1F"/>
                <w:lang w:eastAsia="zh-CN"/>
              </w:rPr>
              <w:t>☑</w:t>
            </w:r>
            <w:r>
              <w:rPr>
                <w:rFonts w:ascii="Times New Roman" w:hAnsi="Times New Roman"/>
                <w:color w:val="1F1F1F"/>
              </w:rPr>
              <w:t xml:space="preserve"> 否</w:t>
            </w:r>
          </w:p>
        </w:tc>
        <w:tc>
          <w:tcPr>
            <w:tcW w:w="33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4AF92BCF">
            <w:pPr>
              <w:spacing w:line="320" w:lineRule="auto"/>
              <w:rPr>
                <w:rFonts w:ascii="Times New Roman" w:hAnsi="Times New Roman"/>
              </w:rPr>
            </w:pPr>
            <w:r>
              <w:rPr>
                <w:rFonts w:ascii="Times New Roman" w:hAnsi="Times New Roman"/>
                <w:color w:val="1F1F1F"/>
              </w:rPr>
              <w:t xml:space="preserve"> </w:t>
            </w:r>
          </w:p>
        </w:tc>
      </w:tr>
      <w:tr w14:paraId="7229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660105B7">
            <w:pPr>
              <w:spacing w:line="320" w:lineRule="auto"/>
              <w:rPr>
                <w:rFonts w:ascii="Times New Roman" w:hAnsi="Times New Roman"/>
              </w:rPr>
            </w:pPr>
            <w:r>
              <w:rPr>
                <w:rFonts w:ascii="Times New Roman" w:hAnsi="Times New Roman"/>
                <w:color w:val="1F1F1F"/>
              </w:rPr>
              <w:t>C5</w:t>
            </w:r>
          </w:p>
        </w:tc>
        <w:tc>
          <w:tcPr>
            <w:tcW w:w="37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04525DB">
            <w:pPr>
              <w:spacing w:line="320" w:lineRule="auto"/>
              <w:rPr>
                <w:rFonts w:ascii="Times New Roman" w:hAnsi="Times New Roman"/>
              </w:rPr>
            </w:pPr>
            <w:r>
              <w:rPr>
                <w:rFonts w:ascii="Times New Roman" w:hAnsi="Times New Roman"/>
                <w:color w:val="1F1F1F"/>
              </w:rPr>
              <w:t>使用大规模人类基因组 / 敏感医疗数据训练 AI</w:t>
            </w:r>
          </w:p>
        </w:tc>
        <w:tc>
          <w:tcPr>
            <w:tcW w:w="17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07CA1D60">
            <w:pPr>
              <w:spacing w:line="320" w:lineRule="auto"/>
              <w:rPr>
                <w:rFonts w:ascii="Times New Roman" w:hAnsi="Times New Roman"/>
              </w:rPr>
            </w:pPr>
            <w:r>
              <w:rPr>
                <w:rFonts w:ascii="Times New Roman" w:hAnsi="Times New Roman"/>
                <w:color w:val="1F1F1F"/>
              </w:rPr>
              <w:t>□ 是　</w:t>
            </w:r>
            <w:r>
              <w:rPr>
                <w:rFonts w:hint="eastAsia"/>
                <w:color w:val="1F1F1F"/>
                <w:lang w:eastAsia="zh-CN"/>
              </w:rPr>
              <w:t>☑</w:t>
            </w:r>
            <w:r>
              <w:rPr>
                <w:rFonts w:ascii="Times New Roman" w:hAnsi="Times New Roman"/>
                <w:color w:val="1F1F1F"/>
              </w:rPr>
              <w:t xml:space="preserve"> 否</w:t>
            </w:r>
          </w:p>
        </w:tc>
        <w:tc>
          <w:tcPr>
            <w:tcW w:w="3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6FD5A50B">
            <w:pPr>
              <w:spacing w:line="320" w:lineRule="auto"/>
              <w:rPr>
                <w:rFonts w:ascii="Times New Roman" w:hAnsi="Times New Roman"/>
              </w:rPr>
            </w:pPr>
            <w:r>
              <w:rPr>
                <w:rFonts w:ascii="Times New Roman" w:hAnsi="Times New Roman"/>
                <w:color w:val="1F1F1F"/>
              </w:rPr>
              <w:t xml:space="preserve"> </w:t>
            </w:r>
          </w:p>
        </w:tc>
      </w:tr>
      <w:tr w14:paraId="38601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3E418C3B">
            <w:pPr>
              <w:spacing w:line="320" w:lineRule="auto"/>
              <w:rPr>
                <w:rFonts w:ascii="Times New Roman" w:hAnsi="Times New Roman"/>
              </w:rPr>
            </w:pPr>
            <w:r>
              <w:rPr>
                <w:rFonts w:ascii="Times New Roman" w:hAnsi="Times New Roman"/>
                <w:color w:val="1F1F1F"/>
              </w:rPr>
              <w:t>C6</w:t>
            </w:r>
          </w:p>
        </w:tc>
        <w:tc>
          <w:tcPr>
            <w:tcW w:w="37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73AD77D7">
            <w:pPr>
              <w:spacing w:line="320" w:lineRule="auto"/>
              <w:rPr>
                <w:rFonts w:ascii="Times New Roman" w:hAnsi="Times New Roman"/>
              </w:rPr>
            </w:pPr>
            <w:r>
              <w:rPr>
                <w:rFonts w:ascii="Times New Roman" w:hAnsi="Times New Roman"/>
                <w:color w:val="1F1F1F"/>
              </w:rPr>
              <w:t>不在白名单中的生物体或 DNA 元件</w:t>
            </w:r>
          </w:p>
        </w:tc>
        <w:tc>
          <w:tcPr>
            <w:tcW w:w="17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60DB6D16">
            <w:pPr>
              <w:spacing w:line="320" w:lineRule="auto"/>
              <w:rPr>
                <w:rFonts w:ascii="Times New Roman" w:hAnsi="Times New Roman"/>
              </w:rPr>
            </w:pPr>
            <w:r>
              <w:rPr>
                <w:rFonts w:ascii="Times New Roman" w:hAnsi="Times New Roman"/>
                <w:color w:val="1F1F1F"/>
              </w:rPr>
              <w:t>□ 是　</w:t>
            </w:r>
            <w:r>
              <w:rPr>
                <w:rFonts w:hint="eastAsia"/>
                <w:color w:val="1F1F1F"/>
                <w:lang w:eastAsia="zh-CN"/>
              </w:rPr>
              <w:t>☑</w:t>
            </w:r>
            <w:r>
              <w:rPr>
                <w:rFonts w:ascii="Times New Roman" w:hAnsi="Times New Roman"/>
                <w:color w:val="1F1F1F"/>
              </w:rPr>
              <w:t xml:space="preserve"> 否</w:t>
            </w:r>
          </w:p>
        </w:tc>
        <w:tc>
          <w:tcPr>
            <w:tcW w:w="33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5CF4DA1B">
            <w:pPr>
              <w:spacing w:line="320" w:lineRule="auto"/>
              <w:rPr>
                <w:rFonts w:ascii="Times New Roman" w:hAnsi="Times New Roman"/>
              </w:rPr>
            </w:pPr>
            <w:r>
              <w:rPr>
                <w:rFonts w:ascii="Times New Roman" w:hAnsi="Times New Roman"/>
                <w:color w:val="1F1F1F"/>
              </w:rPr>
              <w:t xml:space="preserve"> </w:t>
            </w:r>
          </w:p>
        </w:tc>
      </w:tr>
    </w:tbl>
    <w:p w14:paraId="58EB3350">
      <w:pPr>
        <w:spacing w:before="40" w:after="40"/>
        <w:rPr>
          <w:rFonts w:ascii="Times New Roman" w:hAnsi="Times New Roman"/>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BE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9E2F3" w:sz="4" w:space="0"/>
              <w:left w:val="single" w:color="C55A11" w:sz="24" w:space="0"/>
              <w:bottom w:val="single" w:color="D9E2F3" w:sz="4" w:space="0"/>
              <w:right w:val="single" w:color="D9E2F3" w:sz="4" w:space="0"/>
            </w:tcBorders>
            <w:shd w:val="clear" w:color="auto" w:fill="FBE9DD"/>
            <w:tcMar>
              <w:top w:w="180" w:type="dxa"/>
              <w:left w:w="320" w:type="dxa"/>
              <w:bottom w:w="180" w:type="dxa"/>
              <w:right w:w="280" w:type="dxa"/>
            </w:tcMar>
          </w:tcPr>
          <w:p w14:paraId="521C6791">
            <w:pPr>
              <w:spacing w:before="40" w:after="40" w:line="360" w:lineRule="auto"/>
              <w:rPr>
                <w:rFonts w:ascii="Times New Roman" w:hAnsi="Times New Roman"/>
              </w:rPr>
            </w:pPr>
            <w:r>
              <w:rPr>
                <w:rFonts w:ascii="Times New Roman" w:hAnsi="Times New Roman"/>
                <w:b/>
                <w:bCs/>
                <w:color w:val="C55A11"/>
              </w:rPr>
              <w:t>提示：</w:t>
            </w:r>
            <w:r>
              <w:rPr>
                <w:rFonts w:ascii="Times New Roman" w:hAnsi="Times New Roman"/>
                <w:color w:val="1F1F1F"/>
              </w:rPr>
              <w:t>若 C1–C6 中有任何一项选"是"，请额外提交《Check-In 详细申请表》（可向组委会索取），并在"通过"后方可开展相关实验。</w:t>
            </w:r>
          </w:p>
        </w:tc>
      </w:tr>
    </w:tbl>
    <w:p w14:paraId="63422E23">
      <w:pPr>
        <w:spacing w:before="40" w:after="40"/>
        <w:rPr>
          <w:rFonts w:ascii="Times New Roman" w:hAnsi="Times New Roman"/>
        </w:rPr>
      </w:pPr>
    </w:p>
    <w:p w14:paraId="7CF0F344">
      <w:pPr>
        <w:pStyle w:val="4"/>
        <w:rPr>
          <w:rFonts w:ascii="Times New Roman" w:hAnsi="Times New Roman"/>
        </w:rPr>
      </w:pPr>
      <w:r>
        <w:rPr>
          <w:rFonts w:ascii="Times New Roman" w:hAnsi="Times New Roman"/>
        </w:rPr>
        <w:t>D. AI 相关安全</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1F5BB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42B16FE3">
            <w:pPr>
              <w:jc w:val="center"/>
              <w:rPr>
                <w:rFonts w:ascii="Times New Roman" w:hAnsi="Times New Roman"/>
              </w:rPr>
            </w:pPr>
            <w:r>
              <w:rPr>
                <w:rFonts w:ascii="Times New Roman" w:hAnsi="Times New Roman"/>
                <w:b/>
                <w:bCs/>
                <w:color w:val="FFFFFF"/>
              </w:rPr>
              <w:t>项目</w:t>
            </w:r>
          </w:p>
        </w:tc>
        <w:tc>
          <w:tcPr>
            <w:tcW w:w="536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2C1E3ECB">
            <w:pPr>
              <w:jc w:val="center"/>
              <w:rPr>
                <w:rFonts w:ascii="Times New Roman" w:hAnsi="Times New Roman"/>
              </w:rPr>
            </w:pPr>
            <w:r>
              <w:rPr>
                <w:rFonts w:ascii="Times New Roman" w:hAnsi="Times New Roman"/>
                <w:b/>
                <w:bCs/>
                <w:color w:val="FFFFFF"/>
              </w:rPr>
              <w:t>情况说明</w:t>
            </w:r>
          </w:p>
        </w:tc>
      </w:tr>
      <w:tr w14:paraId="14A85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1CA44D70">
            <w:pPr>
              <w:spacing w:line="320" w:lineRule="auto"/>
              <w:rPr>
                <w:rFonts w:ascii="Times New Roman" w:hAnsi="Times New Roman"/>
              </w:rPr>
            </w:pPr>
            <w:r>
              <w:rPr>
                <w:rFonts w:ascii="Times New Roman" w:hAnsi="Times New Roman"/>
                <w:color w:val="1F1F1F"/>
              </w:rPr>
              <w:t>AI 是否生成生物序列</w:t>
            </w:r>
          </w:p>
        </w:tc>
        <w:tc>
          <w:tcPr>
            <w:tcW w:w="5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663B869F">
            <w:pPr>
              <w:spacing w:line="320" w:lineRule="auto"/>
              <w:rPr>
                <w:rFonts w:ascii="Times New Roman" w:hAnsi="Times New Roman"/>
                <w:color w:val="1F1F1F"/>
              </w:rPr>
            </w:pPr>
            <w:r>
              <w:rPr>
                <w:rFonts w:hint="eastAsia"/>
                <w:color w:val="1F1F1F"/>
                <w:lang w:eastAsia="zh-CN"/>
              </w:rPr>
              <w:t>□</w:t>
            </w:r>
            <w:r>
              <w:rPr>
                <w:rFonts w:ascii="Times New Roman" w:hAnsi="Times New Roman"/>
                <w:color w:val="1F1F1F"/>
              </w:rPr>
              <w:t xml:space="preserve"> 否　　</w:t>
            </w:r>
            <w:r>
              <w:rPr>
                <w:rFonts w:hint="eastAsia"/>
                <w:color w:val="1F1F1F"/>
                <w:lang w:eastAsia="zh-CN"/>
              </w:rPr>
              <w:t>☑</w:t>
            </w:r>
            <w:r>
              <w:rPr>
                <w:rFonts w:ascii="Times New Roman" w:hAnsi="Times New Roman"/>
                <w:color w:val="1F1F1F"/>
              </w:rPr>
              <w:t xml:space="preserve"> 是 → 请附序列输出的安全审查机制（可单独成文）</w:t>
            </w:r>
          </w:p>
          <w:p w14:paraId="0FD0778C">
            <w:pPr>
              <w:spacing w:line="320" w:lineRule="auto"/>
              <w:rPr>
                <w:rFonts w:ascii="Times New Roman" w:hAnsi="Times New Roman"/>
                <w:color w:val="1F1F1F"/>
              </w:rPr>
            </w:pPr>
            <w:r>
              <w:rPr>
                <w:rFonts w:hint="eastAsia" w:ascii="Times New Roman" w:hAnsi="Times New Roman" w:eastAsia="宋体" w:cs="宋体"/>
              </w:rPr>
              <w:t>AI 生成的所有候选变体均经四道安全闸口审查:(1)设计骨架限定为 BmCBP(RG1,非毒素非致敏),长度变化 ≤ ±5%,排除</w:t>
            </w:r>
            <w:bookmarkStart w:id="0" w:name="_GoBack"/>
            <w:bookmarkEnd w:id="0"/>
            <w:r>
              <w:rPr>
                <w:rFonts w:hint="eastAsia" w:ascii="Times New Roman" w:hAnsi="Times New Roman" w:eastAsia="宋体" w:cs="宋体"/>
              </w:rPr>
              <w:t>拼接其他功能域;(2)三公开数据库相似性筛查(ToxinPred、AllergenOnline、VFDB),任一触发警报即剔除;(3)合成下单前 PI 与安全管理负责人双签人工核查;(4)选用具备 IGSC Harmonized Screening Protocol 合规资质的合成商作独立第三方筛查。详细机制见 AI 技术方案书第⑦章。</w:t>
            </w:r>
          </w:p>
        </w:tc>
      </w:tr>
      <w:tr w14:paraId="35A6E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1A6FED61">
            <w:pPr>
              <w:spacing w:line="320" w:lineRule="auto"/>
              <w:rPr>
                <w:rFonts w:ascii="Times New Roman" w:hAnsi="Times New Roman"/>
              </w:rPr>
            </w:pPr>
            <w:r>
              <w:rPr>
                <w:rFonts w:ascii="Times New Roman" w:hAnsi="Times New Roman"/>
                <w:color w:val="1F1F1F"/>
              </w:rPr>
              <w:t>训练数据是否涉及隐私 / 受保护信息</w:t>
            </w:r>
          </w:p>
        </w:tc>
        <w:tc>
          <w:tcPr>
            <w:tcW w:w="53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52F254AA">
            <w:pPr>
              <w:spacing w:line="320" w:lineRule="auto"/>
              <w:rPr>
                <w:rFonts w:ascii="Times New Roman" w:hAnsi="Times New Roman"/>
              </w:rPr>
            </w:pPr>
            <w:r>
              <w:rPr>
                <w:rFonts w:hint="eastAsia"/>
                <w:color w:val="1F1F1F"/>
                <w:lang w:eastAsia="zh-CN"/>
              </w:rPr>
              <w:t>☑</w:t>
            </w:r>
            <w:r>
              <w:rPr>
                <w:rFonts w:ascii="Times New Roman" w:hAnsi="Times New Roman"/>
                <w:color w:val="1F1F1F"/>
              </w:rPr>
              <w:t xml:space="preserve"> 否　　□ 是 → 请说明伦理审查与授权情况</w:t>
            </w:r>
          </w:p>
        </w:tc>
      </w:tr>
      <w:tr w14:paraId="363D2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E112A16">
            <w:pPr>
              <w:spacing w:line="320" w:lineRule="auto"/>
              <w:rPr>
                <w:rFonts w:ascii="Times New Roman" w:hAnsi="Times New Roman"/>
              </w:rPr>
            </w:pPr>
            <w:r>
              <w:rPr>
                <w:rFonts w:ascii="Times New Roman" w:hAnsi="Times New Roman"/>
                <w:color w:val="1F1F1F"/>
              </w:rPr>
              <w:t>AI 输出是否直接驱动湿实验决策</w:t>
            </w:r>
          </w:p>
        </w:tc>
        <w:tc>
          <w:tcPr>
            <w:tcW w:w="53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53887D56">
            <w:pPr>
              <w:spacing w:line="320" w:lineRule="auto"/>
              <w:rPr>
                <w:rFonts w:ascii="Times New Roman" w:hAnsi="Times New Roman"/>
              </w:rPr>
            </w:pPr>
            <w:r>
              <w:rPr>
                <w:rFonts w:hint="eastAsia"/>
                <w:color w:val="1F1F1F"/>
                <w:lang w:eastAsia="zh-CN"/>
              </w:rPr>
              <w:t>☑</w:t>
            </w:r>
            <w:r>
              <w:rPr>
                <w:rFonts w:ascii="Times New Roman" w:hAnsi="Times New Roman"/>
                <w:color w:val="1F1F1F"/>
              </w:rPr>
              <w:t xml:space="preserve"> 否　　□ 是 → 请说明人工核查环节</w:t>
            </w:r>
          </w:p>
        </w:tc>
      </w:tr>
    </w:tbl>
    <w:p w14:paraId="62720ABB">
      <w:pPr>
        <w:spacing w:before="40" w:after="40"/>
        <w:rPr>
          <w:rFonts w:ascii="Times New Roman" w:hAnsi="Times New Roman"/>
        </w:rPr>
      </w:pPr>
    </w:p>
    <w:p w14:paraId="4C1294F4">
      <w:pPr>
        <w:pStyle w:val="4"/>
        <w:rPr>
          <w:rFonts w:ascii="Times New Roman" w:hAnsi="Times New Roman"/>
        </w:rPr>
      </w:pPr>
      <w:r>
        <w:rPr>
          <w:rFonts w:ascii="Times New Roman" w:hAnsi="Times New Roman"/>
        </w:rPr>
        <w:t>E. 应急预案</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526E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7FE9397E">
            <w:pPr>
              <w:jc w:val="center"/>
              <w:rPr>
                <w:rFonts w:ascii="Times New Roman" w:hAnsi="Times New Roman"/>
              </w:rPr>
            </w:pPr>
            <w:r>
              <w:rPr>
                <w:rFonts w:ascii="Times New Roman" w:hAnsi="Times New Roman"/>
                <w:b/>
                <w:bCs/>
                <w:color w:val="FFFFFF"/>
              </w:rPr>
              <w:t>项目</w:t>
            </w:r>
          </w:p>
        </w:tc>
        <w:tc>
          <w:tcPr>
            <w:tcW w:w="5960" w:type="dxa"/>
            <w:tcBorders>
              <w:top w:val="single" w:color="BFBFBF" w:sz="4" w:space="0"/>
              <w:left w:val="single" w:color="BFBFBF" w:sz="4" w:space="0"/>
              <w:bottom w:val="single" w:color="BFBFBF" w:sz="4" w:space="0"/>
              <w:right w:val="single" w:color="BFBFBF" w:sz="4" w:space="0"/>
            </w:tcBorders>
            <w:shd w:val="clear" w:color="auto" w:fill="1F4E79"/>
            <w:tcMar>
              <w:top w:w="120" w:type="dxa"/>
              <w:left w:w="120" w:type="dxa"/>
              <w:bottom w:w="120" w:type="dxa"/>
              <w:right w:w="120" w:type="dxa"/>
            </w:tcMar>
            <w:vAlign w:val="center"/>
          </w:tcPr>
          <w:p w14:paraId="314F8359">
            <w:pPr>
              <w:jc w:val="center"/>
              <w:rPr>
                <w:rFonts w:ascii="Times New Roman" w:hAnsi="Times New Roman"/>
              </w:rPr>
            </w:pPr>
            <w:r>
              <w:rPr>
                <w:rFonts w:ascii="Times New Roman" w:hAnsi="Times New Roman"/>
                <w:b/>
                <w:bCs/>
                <w:color w:val="FFFFFF"/>
              </w:rPr>
              <w:t>内容</w:t>
            </w:r>
          </w:p>
        </w:tc>
      </w:tr>
      <w:tr w14:paraId="6EFD0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7A4129AD">
            <w:pPr>
              <w:spacing w:line="320" w:lineRule="auto"/>
              <w:rPr>
                <w:rFonts w:ascii="Times New Roman" w:hAnsi="Times New Roman"/>
              </w:rPr>
            </w:pPr>
            <w:r>
              <w:rPr>
                <w:rFonts w:ascii="Times New Roman" w:hAnsi="Times New Roman"/>
                <w:color w:val="1F1F1F"/>
              </w:rPr>
              <w:t>应急联系人姓名</w:t>
            </w:r>
          </w:p>
        </w:tc>
        <w:tc>
          <w:tcPr>
            <w:tcW w:w="59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30E8D340">
            <w:pPr>
              <w:spacing w:line="320" w:lineRule="auto"/>
              <w:rPr>
                <w:rFonts w:hint="default" w:ascii="Times New Roman" w:hAnsi="Times New Roman" w:eastAsia="微软雅黑"/>
                <w:lang w:val="en-US" w:eastAsia="zh-CN"/>
              </w:rPr>
            </w:pPr>
            <w:r>
              <w:rPr>
                <w:rFonts w:ascii="Times New Roman" w:hAnsi="Times New Roman"/>
                <w:color w:val="1F1F1F"/>
              </w:rPr>
              <w:t xml:space="preserve"> </w:t>
            </w:r>
            <w:r>
              <w:rPr>
                <w:rFonts w:hint="eastAsia" w:ascii="Times New Roman" w:hAnsi="Times New Roman"/>
                <w:color w:val="1F1F1F"/>
                <w:lang w:val="en-US" w:eastAsia="zh-CN"/>
              </w:rPr>
              <w:t>徐士宸</w:t>
            </w:r>
          </w:p>
        </w:tc>
      </w:tr>
      <w:tr w14:paraId="2864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7CD19033">
            <w:pPr>
              <w:spacing w:line="320" w:lineRule="auto"/>
              <w:rPr>
                <w:rFonts w:ascii="Times New Roman" w:hAnsi="Times New Roman"/>
              </w:rPr>
            </w:pPr>
            <w:r>
              <w:rPr>
                <w:rFonts w:ascii="Times New Roman" w:hAnsi="Times New Roman"/>
                <w:color w:val="1F1F1F"/>
              </w:rPr>
              <w:t>应急联系人电话</w:t>
            </w:r>
          </w:p>
        </w:tc>
        <w:tc>
          <w:tcPr>
            <w:tcW w:w="59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0E95EAFE">
            <w:pPr>
              <w:spacing w:line="320" w:lineRule="auto"/>
              <w:rPr>
                <w:rFonts w:ascii="Times New Roman" w:hAnsi="Times New Roman"/>
              </w:rPr>
            </w:pPr>
            <w:r>
              <w:rPr>
                <w:rFonts w:ascii="Times New Roman" w:hAnsi="Times New Roman"/>
                <w:color w:val="1F1F1F"/>
              </w:rPr>
              <w:t xml:space="preserve"> </w:t>
            </w:r>
            <w:r>
              <w:rPr>
                <w:rFonts w:hint="eastAsia" w:ascii="Times New Roman" w:hAnsi="Times New Roman"/>
                <w:color w:val="1F1F1F"/>
              </w:rPr>
              <w:t>15733216795</w:t>
            </w:r>
          </w:p>
        </w:tc>
      </w:tr>
      <w:tr w14:paraId="00B74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3E05DCC8">
            <w:pPr>
              <w:spacing w:line="320" w:lineRule="auto"/>
              <w:rPr>
                <w:rFonts w:ascii="Times New Roman" w:hAnsi="Times New Roman"/>
              </w:rPr>
            </w:pPr>
            <w:r>
              <w:rPr>
                <w:rFonts w:ascii="Times New Roman" w:hAnsi="Times New Roman"/>
                <w:color w:val="1F1F1F"/>
              </w:rPr>
              <w:t>实验事故处置流程概述</w:t>
            </w:r>
          </w:p>
        </w:tc>
        <w:tc>
          <w:tcPr>
            <w:tcW w:w="59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01F3CACA">
            <w:pPr>
              <w:spacing w:line="320" w:lineRule="auto"/>
              <w:rPr>
                <w:rFonts w:ascii="Times New Roman" w:hAnsi="Times New Roman"/>
              </w:rPr>
            </w:pPr>
            <w:r>
              <w:rPr>
                <w:rFonts w:ascii="Times New Roman" w:hAnsi="Times New Roman"/>
                <w:color w:val="1F1F1F"/>
              </w:rPr>
              <w:t xml:space="preserve"> </w:t>
            </w:r>
            <w:r>
              <w:rPr>
                <w:rFonts w:hint="eastAsia" w:ascii="Times New Roman" w:hAnsi="Times New Roman"/>
                <w:color w:val="1F1F1F"/>
              </w:rPr>
              <w:t>实验过程中如发生生物泄漏:立即用 75% 乙醇或新配置的 1% 次氯酸钠覆盖泄漏区域,作用 30 分钟后用吸水材料清除,污染物按生物危险废物处理。人员暴露事件:立即用流水冲洗暴露部位至少 15 分钟,皮肤接触用肥皂彻底清洗,黏膜暴露用生理盐水冲洗,事后 24 小时内向实验室安全管理负责人和校医院报告评估。火灾事件:立即切断电源与气源,使用就近灭火器(实验区配备 ABC 干粉灭火器),疏散人员后拨打 119 与校保卫处。所有事故均填写《实验室事故报告单》,24 小时内上报学院与学校实验室与设备管理处。</w:t>
            </w:r>
          </w:p>
        </w:tc>
      </w:tr>
      <w:tr w14:paraId="03D4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12B5B7AA">
            <w:pPr>
              <w:spacing w:line="320" w:lineRule="auto"/>
              <w:rPr>
                <w:rFonts w:ascii="Times New Roman" w:hAnsi="Times New Roman"/>
              </w:rPr>
            </w:pPr>
            <w:r>
              <w:rPr>
                <w:rFonts w:ascii="Times New Roman" w:hAnsi="Times New Roman"/>
                <w:color w:val="1F1F1F"/>
              </w:rPr>
              <w:t>实验记录与样本保存方式</w:t>
            </w:r>
          </w:p>
        </w:tc>
        <w:tc>
          <w:tcPr>
            <w:tcW w:w="5960" w:type="dxa"/>
            <w:tcBorders>
              <w:top w:val="single" w:color="BFBFBF" w:sz="4" w:space="0"/>
              <w:left w:val="single" w:color="BFBFBF" w:sz="4" w:space="0"/>
              <w:bottom w:val="single" w:color="BFBFBF" w:sz="4" w:space="0"/>
              <w:right w:val="single" w:color="BFBFBF" w:sz="4" w:space="0"/>
            </w:tcBorders>
            <w:shd w:val="clear" w:color="auto" w:fill="F4F7FB"/>
            <w:tcMar>
              <w:top w:w="100" w:type="dxa"/>
              <w:left w:w="140" w:type="dxa"/>
              <w:bottom w:w="100" w:type="dxa"/>
              <w:right w:w="140" w:type="dxa"/>
            </w:tcMar>
            <w:vAlign w:val="center"/>
          </w:tcPr>
          <w:p w14:paraId="6053A454">
            <w:pPr>
              <w:spacing w:line="320" w:lineRule="auto"/>
              <w:rPr>
                <w:rFonts w:ascii="Times New Roman" w:hAnsi="Times New Roman"/>
              </w:rPr>
            </w:pPr>
            <w:r>
              <w:rPr>
                <w:rFonts w:ascii="Times New Roman" w:hAnsi="Times New Roman"/>
                <w:color w:val="1F1F1F"/>
              </w:rPr>
              <w:t xml:space="preserve"> </w:t>
            </w:r>
            <w:r>
              <w:rPr>
                <w:rFonts w:hint="eastAsia" w:ascii="Times New Roman" w:hAnsi="Times New Roman"/>
                <w:color w:val="1F1F1F"/>
              </w:rPr>
              <w:t>实验记录采用纸质实验记录本(逐日记录、签字、防篡改)与电子记录(实验室共享 OneDrive / 钉钉文档,版本可追溯)双轨保存。原始数据(测序结果、PCR 凝胶图、SDS-PAGE 图、光谱数据等)按日期与实验编号归档至实验室云盘,关键数据同步备份至 Gitee 项目仓库 data_raw/ 目录并附 SHA-256 校验。菌株样本以 25% 甘油-80°C 冰箱保藏,质粒样本以纯化 DNA 形式-20°C 保藏,均贴明确标签注明菌株编号、构建日期、保存人。</w:t>
            </w:r>
          </w:p>
        </w:tc>
      </w:tr>
      <w:tr w14:paraId="733F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7C90F8E9">
            <w:pPr>
              <w:spacing w:line="320" w:lineRule="auto"/>
              <w:rPr>
                <w:rFonts w:ascii="Times New Roman" w:hAnsi="Times New Roman"/>
              </w:rPr>
            </w:pPr>
            <w:r>
              <w:rPr>
                <w:rFonts w:ascii="Times New Roman" w:hAnsi="Times New Roman"/>
                <w:color w:val="1F1F1F"/>
              </w:rPr>
              <w:t>结题后样本与数据处置方案</w:t>
            </w:r>
          </w:p>
        </w:tc>
        <w:tc>
          <w:tcPr>
            <w:tcW w:w="5960" w:type="dxa"/>
            <w:tcBorders>
              <w:top w:val="single" w:color="BFBFBF" w:sz="4" w:space="0"/>
              <w:left w:val="single" w:color="BFBFBF" w:sz="4" w:space="0"/>
              <w:bottom w:val="single" w:color="BFBFBF" w:sz="4" w:space="0"/>
              <w:right w:val="single" w:color="BFBFBF" w:sz="4" w:space="0"/>
            </w:tcBorders>
            <w:shd w:val="clear" w:color="auto" w:fill="FFFFFF"/>
            <w:tcMar>
              <w:top w:w="100" w:type="dxa"/>
              <w:left w:w="140" w:type="dxa"/>
              <w:bottom w:w="100" w:type="dxa"/>
              <w:right w:w="140" w:type="dxa"/>
            </w:tcMar>
            <w:vAlign w:val="center"/>
          </w:tcPr>
          <w:p w14:paraId="60A9F595">
            <w:pPr>
              <w:spacing w:line="320" w:lineRule="auto"/>
              <w:rPr>
                <w:rFonts w:ascii="Times New Roman" w:hAnsi="Times New Roman"/>
              </w:rPr>
            </w:pPr>
            <w:r>
              <w:rPr>
                <w:rFonts w:ascii="Times New Roman" w:hAnsi="Times New Roman"/>
                <w:color w:val="1F1F1F"/>
              </w:rPr>
              <w:t xml:space="preserve"> </w:t>
            </w:r>
            <w:r>
              <w:rPr>
                <w:rFonts w:hint="eastAsia" w:ascii="Times New Roman" w:hAnsi="Times New Roman"/>
                <w:color w:val="1F1F1F"/>
              </w:rPr>
              <w:t>项目结题后样本处置分两类。第一类:可继续用于科研的菌株与质粒,移交本实验室长期保藏库,登记入册,保留三年备查。第二类:阶段性中间产物与一次性实验样本,经 121°C、30 分钟高压灭菌后按生物危险废物程序统一处置。所有实验记录、原始数据、AI 模型权重、代码仓库归档至学校科研数据管理平台,保留期不少于五年,以满足学术可追溯性要求。代码与非敏感数据按 CC BY 4.0 开源协议公开于 Gitee 仓库。</w:t>
            </w:r>
          </w:p>
        </w:tc>
      </w:tr>
    </w:tbl>
    <w:p w14:paraId="2EA1B176">
      <w:pPr>
        <w:pStyle w:val="3"/>
        <w:rPr>
          <w:rFonts w:ascii="Times New Roman" w:hAnsi="Times New Roman"/>
        </w:rPr>
      </w:pPr>
      <w:r>
        <w:rPr>
          <w:rFonts w:ascii="Times New Roman" w:hAnsi="Times New Roman"/>
        </w:rPr>
        <w:t>F. 签字栏</w:t>
      </w:r>
    </w:p>
    <w:p w14:paraId="066FB0B1">
      <w:pPr>
        <w:spacing w:before="100" w:after="100" w:line="380" w:lineRule="auto"/>
        <w:jc w:val="both"/>
        <w:rPr>
          <w:rFonts w:ascii="Times New Roman" w:hAnsi="Times New Roman"/>
        </w:rPr>
      </w:pPr>
      <w:r>
        <w:rPr>
          <w:rFonts w:ascii="Times New Roman" w:hAnsi="Times New Roman"/>
          <w:b/>
          <w:bCs/>
          <w:color w:val="1F1F1F"/>
        </w:rPr>
        <w:t>Primary PI 确认：以上信息真实、完整、无遗漏。</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F0A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single" w:color="1F1F1F" w:sz="6" w:space="0"/>
              <w:right w:val="nil"/>
            </w:tcBorders>
            <w:tcMar>
              <w:top w:w="100" w:type="dxa"/>
              <w:left w:w="100" w:type="dxa"/>
              <w:bottom w:w="100" w:type="dxa"/>
              <w:right w:w="100" w:type="dxa"/>
            </w:tcMar>
            <w:vAlign w:val="bottom"/>
          </w:tcPr>
          <w:p w14:paraId="05DA2E93">
            <w:pPr>
              <w:spacing w:before="600" w:after="60"/>
              <w:rPr>
                <w:rFonts w:ascii="Times New Roman" w:hAnsi="Times New Roman"/>
                <w:color w:val="1F1F1F"/>
              </w:rPr>
            </w:pPr>
            <w:r>
              <w:rPr>
                <w:rFonts w:ascii="Times New Roman" w:hAnsi="Times New Roman"/>
                <w:color w:val="1F1F1F"/>
              </w:rPr>
              <w:t>PI 签字</w:t>
            </w:r>
          </w:p>
          <w:p w14:paraId="3F047FAD">
            <w:pPr>
              <w:spacing w:before="600" w:after="60"/>
              <w:rPr>
                <w:rFonts w:ascii="Times New Roman" w:hAnsi="Times New Roman"/>
                <w:color w:val="1F1F1F"/>
              </w:rPr>
            </w:pPr>
            <w:r>
              <w:rPr>
                <w:rFonts w:hint="eastAsia" w:ascii="Times New Roman" w:hAnsi="Times New Roman" w:eastAsia="微软雅黑"/>
                <w:b w:val="0"/>
                <w:bCs w:val="0"/>
                <w:color w:val="1F1F1F"/>
                <w:lang w:eastAsia="zh-CN"/>
              </w:rPr>
              <w:drawing>
                <wp:inline distT="0" distB="0" distL="114300" distR="114300">
                  <wp:extent cx="1853565" cy="865505"/>
                  <wp:effectExtent l="0" t="0" r="13335" b="10795"/>
                  <wp:docPr id="2" name="图片 2" descr="0324c6527ed5682b86e956bea1342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324c6527ed5682b86e956bea1342b3a"/>
                          <pic:cNvPicPr>
                            <a:picLocks noChangeAspect="1"/>
                          </pic:cNvPicPr>
                        </pic:nvPicPr>
                        <pic:blipFill>
                          <a:blip r:embed="rId6"/>
                          <a:stretch>
                            <a:fillRect/>
                          </a:stretch>
                        </pic:blipFill>
                        <pic:spPr>
                          <a:xfrm>
                            <a:off x="0" y="0"/>
                            <a:ext cx="1853565" cy="865505"/>
                          </a:xfrm>
                          <a:prstGeom prst="rect">
                            <a:avLst/>
                          </a:prstGeom>
                        </pic:spPr>
                      </pic:pic>
                    </a:graphicData>
                  </a:graphic>
                </wp:inline>
              </w:drawing>
            </w:r>
          </w:p>
        </w:tc>
        <w:tc>
          <w:tcPr>
            <w:tcW w:w="4680" w:type="dxa"/>
            <w:tcBorders>
              <w:top w:val="nil"/>
              <w:left w:val="nil"/>
              <w:bottom w:val="single" w:color="1F1F1F" w:sz="6" w:space="0"/>
              <w:right w:val="nil"/>
            </w:tcBorders>
            <w:tcMar>
              <w:top w:w="100" w:type="dxa"/>
              <w:left w:w="100" w:type="dxa"/>
              <w:bottom w:w="100" w:type="dxa"/>
              <w:right w:w="100" w:type="dxa"/>
            </w:tcMar>
            <w:vAlign w:val="bottom"/>
          </w:tcPr>
          <w:p w14:paraId="1E3980B1">
            <w:pPr>
              <w:spacing w:before="600" w:after="60"/>
              <w:rPr>
                <w:rFonts w:hint="default" w:ascii="Times New Roman" w:hAnsi="Times New Roman" w:eastAsia="微软雅黑"/>
                <w:lang w:val="en-US" w:eastAsia="zh-CN"/>
              </w:rPr>
            </w:pPr>
            <w:r>
              <w:rPr>
                <w:rFonts w:ascii="Times New Roman" w:hAnsi="Times New Roman"/>
                <w:color w:val="1F1F1F"/>
              </w:rPr>
              <w:t>日　期</w:t>
            </w:r>
            <w:r>
              <w:rPr>
                <w:rFonts w:hint="eastAsia" w:ascii="Times New Roman" w:hAnsi="Times New Roman"/>
                <w:color w:val="1F1F1F"/>
                <w:lang w:val="en-US" w:eastAsia="zh-CN"/>
              </w:rPr>
              <w:t xml:space="preserve">  2026/5/25</w:t>
            </w:r>
          </w:p>
        </w:tc>
      </w:tr>
    </w:tbl>
    <w:p w14:paraId="7A2C9176">
      <w:pPr>
        <w:spacing w:before="120" w:after="120"/>
        <w:rPr>
          <w:rFonts w:ascii="Times New Roman" w:hAnsi="Times New Roman"/>
        </w:rP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528E2">
    <w:pPr>
      <w:jc w:val="center"/>
    </w:pPr>
    <w:r>
      <w:rPr>
        <w:color w:val="595959"/>
        <w:sz w:val="18"/>
        <w:szCs w:val="18"/>
      </w:rPr>
      <w:t xml:space="preserve">— 第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t>1</w:t>
    </w:r>
    <w:r>
      <w:rPr>
        <w:color w:val="595959"/>
        <w:sz w:val="18"/>
        <w:szCs w:val="18"/>
      </w:rPr>
      <w:fldChar w:fldCharType="end"/>
    </w:r>
    <w:r>
      <w:rPr>
        <w:color w:val="595959"/>
        <w:sz w:val="18"/>
        <w:szCs w:val="18"/>
      </w:rPr>
      <w:t xml:space="preserve"> 页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D41ED">
    <w:pPr>
      <w:pBdr>
        <w:bottom w:val="single" w:color="B4C7E7" w:sz="4" w:space="4"/>
      </w:pBdr>
      <w:jc w:val="right"/>
    </w:pPr>
    <w:r>
      <w:rPr>
        <w:color w:val="595959"/>
        <w:sz w:val="18"/>
        <w:szCs w:val="18"/>
      </w:rPr>
      <w:t>AI + 合成生物创新大赛 · 5 月 31 日交付物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656ED"/>
    <w:multiLevelType w:val="singleLevel"/>
    <w:tmpl w:val="FBF656ED"/>
    <w:lvl w:ilvl="0" w:tentative="0">
      <w:start w:val="2"/>
      <w:numFmt w:val="decimal"/>
      <w:lvlText w:val="(%1)"/>
      <w:lvlJc w:val="left"/>
      <w:pPr>
        <w:tabs>
          <w:tab w:val="left" w:pos="312"/>
        </w:tabs>
      </w:pPr>
    </w:lvl>
  </w:abstractNum>
  <w:abstractNum w:abstractNumId="1">
    <w:nsid w:val="206171E8"/>
    <w:multiLevelType w:val="singleLevel"/>
    <w:tmpl w:val="206171E8"/>
    <w:lvl w:ilvl="0" w:tentative="0">
      <w:start w:val="1"/>
      <w:numFmt w:val="decimal"/>
      <w:lvlText w:val="(%1)"/>
      <w:lvlJc w:val="left"/>
      <w:pPr>
        <w:tabs>
          <w:tab w:val="left" w:pos="312"/>
        </w:tabs>
      </w:pPr>
    </w:lvl>
  </w:abstractNum>
  <w:abstractNum w:abstractNumId="2">
    <w:nsid w:val="4B15378F"/>
    <w:multiLevelType w:val="multilevel"/>
    <w:tmpl w:val="4B15378F"/>
    <w:lvl w:ilvl="0" w:tentative="0">
      <w:start w:val="1"/>
      <w:numFmt w:val="decimal"/>
      <w:lvlText w:val="%1."/>
      <w:lvlJc w:val="left"/>
      <w:pPr>
        <w:ind w:left="480" w:hanging="360"/>
      </w:pPr>
      <w:rPr>
        <w:rFonts w:ascii="微软雅黑" w:hAnsi="微软雅黑" w:eastAsia="微软雅黑" w:cs="微软雅黑"/>
      </w:rPr>
    </w:lvl>
    <w:lvl w:ilvl="1" w:tentative="0">
      <w:start w:val="1"/>
      <w:numFmt w:val="lowerLetter"/>
      <w:lvlText w:val="%2)"/>
      <w:lvlJc w:val="left"/>
      <w:pPr>
        <w:ind w:left="960" w:hanging="360"/>
      </w:pPr>
      <w:rPr>
        <w:rFonts w:ascii="微软雅黑" w:hAnsi="微软雅黑" w:eastAsia="微软雅黑" w:cs="微软雅黑"/>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4F141792"/>
    <w:multiLevelType w:val="singleLevel"/>
    <w:tmpl w:val="4F141792"/>
    <w:lvl w:ilvl="0" w:tentative="0">
      <w:start w:val="1"/>
      <w:numFmt w:val="decimal"/>
      <w:lvlText w:val="(%1)"/>
      <w:lvlJc w:val="left"/>
      <w:pPr>
        <w:tabs>
          <w:tab w:val="left" w:pos="312"/>
        </w:tabs>
      </w:pPr>
    </w:lvl>
  </w:abstractNum>
  <w:abstractNum w:abstractNumId="4">
    <w:nsid w:val="53D3F612"/>
    <w:multiLevelType w:val="singleLevel"/>
    <w:tmpl w:val="53D3F612"/>
    <w:lvl w:ilvl="0" w:tentative="0">
      <w:start w:val="2"/>
      <w:numFmt w:val="decimal"/>
      <w:lvlText w:val="(%1)"/>
      <w:lvlJc w:val="left"/>
      <w:pPr>
        <w:tabs>
          <w:tab w:val="left" w:pos="312"/>
        </w:tabs>
      </w:pPr>
    </w:lvl>
  </w:abstractNum>
  <w:abstractNum w:abstractNumId="5">
    <w:nsid w:val="5ED9044F"/>
    <w:multiLevelType w:val="multilevel"/>
    <w:tmpl w:val="5ED9044F"/>
    <w:lvl w:ilvl="0" w:tentative="0">
      <w:start w:val="1"/>
      <w:numFmt w:val="bullet"/>
      <w:lvlText w:val="•"/>
      <w:lvlJc w:val="left"/>
      <w:pPr>
        <w:ind w:left="480" w:hanging="280"/>
      </w:pPr>
      <w:rPr>
        <w:rFonts w:ascii="微软雅黑" w:hAnsi="微软雅黑" w:eastAsia="微软雅黑" w:cs="微软雅黑"/>
      </w:rPr>
    </w:lvl>
    <w:lvl w:ilvl="1" w:tentative="0">
      <w:start w:val="1"/>
      <w:numFmt w:val="bullet"/>
      <w:lvlText w:val="◦"/>
      <w:lvlJc w:val="left"/>
      <w:pPr>
        <w:ind w:left="960" w:hanging="280"/>
      </w:pPr>
      <w:rPr>
        <w:rFonts w:ascii="微软雅黑" w:hAnsi="微软雅黑" w:eastAsia="微软雅黑" w:cs="微软雅黑"/>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5"/>
    <w:lvlOverride w:ilvl="0">
      <w:startOverride w:val="1"/>
    </w:lvlOverride>
  </w:num>
  <w:num w:numId="2">
    <w:abstractNumId w:val="2"/>
    <w:lvlOverride w:ilvl="0">
      <w:startOverride w:val="1"/>
    </w:lvlOverride>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Y0M2VjMDcxNTdlM2VmNzdhYWRmYjAxOTk0M2E0YTQifQ=="/>
  </w:docVars>
  <w:rsids>
    <w:rsidRoot w:val="002B5DD9"/>
    <w:rsid w:val="00092D7A"/>
    <w:rsid w:val="002152C6"/>
    <w:rsid w:val="002B24F3"/>
    <w:rsid w:val="002B5DD9"/>
    <w:rsid w:val="0053233B"/>
    <w:rsid w:val="00613153"/>
    <w:rsid w:val="00657730"/>
    <w:rsid w:val="007D6091"/>
    <w:rsid w:val="00864B4B"/>
    <w:rsid w:val="009217C1"/>
    <w:rsid w:val="00C268E1"/>
    <w:rsid w:val="00C4207F"/>
    <w:rsid w:val="00CA35A8"/>
    <w:rsid w:val="00D10D22"/>
    <w:rsid w:val="00E31CB0"/>
    <w:rsid w:val="00EB5168"/>
    <w:rsid w:val="00F66B11"/>
    <w:rsid w:val="01FD1A29"/>
    <w:rsid w:val="09512C74"/>
    <w:rsid w:val="1A091CE3"/>
    <w:rsid w:val="23FC2EB2"/>
    <w:rsid w:val="35F77408"/>
    <w:rsid w:val="43D56D15"/>
    <w:rsid w:val="549014D7"/>
    <w:rsid w:val="595669D4"/>
    <w:rsid w:val="6B5B2936"/>
    <w:rsid w:val="71760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宋体" w:cs="微软雅黑"/>
      <w:sz w:val="22"/>
      <w:szCs w:val="22"/>
      <w:lang w:val="en-US" w:eastAsia="zh-CN" w:bidi="ar-SA"/>
    </w:rPr>
  </w:style>
  <w:style w:type="paragraph" w:styleId="2">
    <w:name w:val="heading 1"/>
    <w:qFormat/>
    <w:uiPriority w:val="9"/>
    <w:pPr>
      <w:spacing w:before="360" w:after="200"/>
      <w:outlineLvl w:val="0"/>
    </w:pPr>
    <w:rPr>
      <w:rFonts w:ascii="微软雅黑" w:hAnsi="微软雅黑" w:eastAsia="微软雅黑" w:cs="微软雅黑"/>
      <w:b/>
      <w:bCs/>
      <w:color w:val="1F4E79"/>
      <w:sz w:val="36"/>
      <w:szCs w:val="36"/>
      <w:lang w:val="en-US" w:eastAsia="zh-CN" w:bidi="ar-SA"/>
    </w:rPr>
  </w:style>
  <w:style w:type="paragraph" w:styleId="3">
    <w:name w:val="heading 2"/>
    <w:unhideWhenUsed/>
    <w:qFormat/>
    <w:uiPriority w:val="9"/>
    <w:pPr>
      <w:spacing w:before="280" w:after="140"/>
      <w:outlineLvl w:val="1"/>
    </w:pPr>
    <w:rPr>
      <w:rFonts w:ascii="微软雅黑" w:hAnsi="微软雅黑" w:eastAsia="微软雅黑" w:cs="微软雅黑"/>
      <w:b/>
      <w:bCs/>
      <w:color w:val="2E75B6"/>
      <w:sz w:val="28"/>
      <w:szCs w:val="28"/>
      <w:lang w:val="en-US" w:eastAsia="zh-CN" w:bidi="ar-SA"/>
    </w:rPr>
  </w:style>
  <w:style w:type="paragraph" w:styleId="4">
    <w:name w:val="heading 3"/>
    <w:unhideWhenUsed/>
    <w:qFormat/>
    <w:uiPriority w:val="9"/>
    <w:pPr>
      <w:spacing w:before="200" w:after="100"/>
      <w:outlineLvl w:val="2"/>
    </w:pPr>
    <w:rPr>
      <w:rFonts w:ascii="微软雅黑" w:hAnsi="微软雅黑" w:eastAsia="微软雅黑" w:cs="微软雅黑"/>
      <w:b/>
      <w:bCs/>
      <w:color w:val="1F1F1F"/>
      <w:sz w:val="24"/>
      <w:szCs w:val="24"/>
      <w:lang w:val="en-US" w:eastAsia="zh-CN" w:bidi="ar-SA"/>
    </w:rPr>
  </w:style>
  <w:style w:type="paragraph" w:styleId="5">
    <w:name w:val="heading 4"/>
    <w:semiHidden/>
    <w:unhideWhenUsed/>
    <w:qFormat/>
    <w:uiPriority w:val="9"/>
    <w:pPr>
      <w:outlineLvl w:val="3"/>
    </w:pPr>
    <w:rPr>
      <w:rFonts w:ascii="微软雅黑" w:hAnsi="微软雅黑" w:eastAsia="微软雅黑" w:cs="微软雅黑"/>
      <w:i/>
      <w:iCs/>
      <w:color w:val="2E74B5"/>
      <w:sz w:val="22"/>
      <w:szCs w:val="22"/>
      <w:lang w:val="en-US" w:eastAsia="zh-CN" w:bidi="ar-SA"/>
    </w:rPr>
  </w:style>
  <w:style w:type="paragraph" w:styleId="6">
    <w:name w:val="heading 5"/>
    <w:semiHidden/>
    <w:unhideWhenUsed/>
    <w:qFormat/>
    <w:uiPriority w:val="9"/>
    <w:pPr>
      <w:outlineLvl w:val="4"/>
    </w:pPr>
    <w:rPr>
      <w:rFonts w:ascii="微软雅黑" w:hAnsi="微软雅黑" w:eastAsia="微软雅黑" w:cs="微软雅黑"/>
      <w:color w:val="2E74B5"/>
      <w:sz w:val="22"/>
      <w:szCs w:val="22"/>
      <w:lang w:val="en-US" w:eastAsia="zh-CN" w:bidi="ar-SA"/>
    </w:rPr>
  </w:style>
  <w:style w:type="paragraph" w:styleId="7">
    <w:name w:val="heading 6"/>
    <w:semiHidden/>
    <w:unhideWhenUsed/>
    <w:qFormat/>
    <w:uiPriority w:val="9"/>
    <w:pPr>
      <w:outlineLvl w:val="5"/>
    </w:pPr>
    <w:rPr>
      <w:rFonts w:ascii="微软雅黑" w:hAnsi="微软雅黑" w:eastAsia="微软雅黑" w:cs="微软雅黑"/>
      <w:color w:val="1F4D78"/>
      <w:sz w:val="22"/>
      <w:szCs w:val="22"/>
      <w:lang w:val="en-US" w:eastAsia="zh-CN"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endnote text"/>
    <w:link w:val="22"/>
    <w:semiHidden/>
    <w:unhideWhenUsed/>
    <w:uiPriority w:val="99"/>
    <w:rPr>
      <w:rFonts w:ascii="微软雅黑" w:hAnsi="微软雅黑" w:eastAsia="微软雅黑" w:cs="微软雅黑"/>
      <w:sz w:val="20"/>
      <w:szCs w:val="20"/>
      <w:lang w:val="en-US" w:eastAsia="zh-CN" w:bidi="ar-SA"/>
    </w:rPr>
  </w:style>
  <w:style w:type="paragraph" w:styleId="9">
    <w:name w:val="footnote text"/>
    <w:link w:val="21"/>
    <w:semiHidden/>
    <w:unhideWhenUsed/>
    <w:uiPriority w:val="99"/>
    <w:rPr>
      <w:rFonts w:ascii="微软雅黑" w:hAnsi="微软雅黑" w:eastAsia="微软雅黑" w:cs="微软雅黑"/>
      <w:sz w:val="20"/>
      <w:szCs w:val="20"/>
      <w:lang w:val="en-US" w:eastAsia="zh-CN" w:bidi="ar-SA"/>
    </w:rPr>
  </w:style>
  <w:style w:type="paragraph" w:styleId="10">
    <w:name w:val="Normal (Web)"/>
    <w:basedOn w:val="1"/>
    <w:semiHidden/>
    <w:unhideWhenUsed/>
    <w:uiPriority w:val="99"/>
    <w:rPr>
      <w:sz w:val="24"/>
    </w:rPr>
  </w:style>
  <w:style w:type="paragraph" w:styleId="11">
    <w:name w:val="Title"/>
    <w:qFormat/>
    <w:uiPriority w:val="10"/>
    <w:rPr>
      <w:rFonts w:ascii="微软雅黑" w:hAnsi="微软雅黑" w:eastAsia="微软雅黑" w:cs="微软雅黑"/>
      <w:sz w:val="56"/>
      <w:szCs w:val="56"/>
      <w:lang w:val="en-US" w:eastAsia="zh-CN" w:bidi="ar-SA"/>
    </w:rPr>
  </w:style>
  <w:style w:type="character" w:styleId="14">
    <w:name w:val="Strong"/>
    <w:basedOn w:val="13"/>
    <w:qFormat/>
    <w:uiPriority w:val="22"/>
    <w:rPr>
      <w:b/>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HTML Code"/>
    <w:basedOn w:val="13"/>
    <w:semiHidden/>
    <w:unhideWhenUsed/>
    <w:uiPriority w:val="99"/>
    <w:rPr>
      <w:rFonts w:ascii="Courier New" w:hAnsi="Courier New"/>
      <w:sz w:val="20"/>
    </w:rPr>
  </w:style>
  <w:style w:type="character" w:styleId="18">
    <w:name w:val="footnote reference"/>
    <w:semiHidden/>
    <w:unhideWhenUsed/>
    <w:uiPriority w:val="99"/>
    <w:rPr>
      <w:vertAlign w:val="superscript"/>
    </w:rPr>
  </w:style>
  <w:style w:type="paragraph" w:customStyle="1" w:styleId="19">
    <w:name w:val="要点1"/>
    <w:qFormat/>
    <w:uiPriority w:val="0"/>
    <w:rPr>
      <w:rFonts w:ascii="微软雅黑" w:hAnsi="微软雅黑" w:eastAsia="微软雅黑" w:cs="微软雅黑"/>
      <w:b/>
      <w:bCs/>
      <w:sz w:val="22"/>
      <w:szCs w:val="22"/>
      <w:lang w:val="en-US" w:eastAsia="zh-CN" w:bidi="ar-SA"/>
    </w:rPr>
  </w:style>
  <w:style w:type="paragraph" w:styleId="20">
    <w:name w:val="List Paragraph"/>
    <w:qFormat/>
    <w:uiPriority w:val="0"/>
    <w:rPr>
      <w:rFonts w:ascii="微软雅黑" w:hAnsi="微软雅黑" w:eastAsia="微软雅黑" w:cs="微软雅黑"/>
      <w:sz w:val="22"/>
      <w:szCs w:val="22"/>
      <w:lang w:val="en-US" w:eastAsia="zh-CN" w:bidi="ar-SA"/>
    </w:rPr>
  </w:style>
  <w:style w:type="character" w:customStyle="1" w:styleId="21">
    <w:name w:val="脚注文本 字符"/>
    <w:link w:val="9"/>
    <w:semiHidden/>
    <w:unhideWhenUsed/>
    <w:uiPriority w:val="99"/>
    <w:rPr>
      <w:sz w:val="20"/>
      <w:szCs w:val="20"/>
    </w:rPr>
  </w:style>
  <w:style w:type="character" w:customStyle="1" w:styleId="22">
    <w:name w:val="尾注文本 字符"/>
    <w:link w:val="8"/>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12470</Words>
  <Characters>16722</Characters>
  <Lines>28</Lines>
  <Paragraphs>8</Paragraphs>
  <TotalTime>2</TotalTime>
  <ScaleCrop>false</ScaleCrop>
  <LinksUpToDate>false</LinksUpToDate>
  <CharactersWithSpaces>17914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2026-05-07T06:01:00Z</dcterms:created>
  <dc:creator>AI+合成生物创新大赛组委会</dc:creator>
  <cp:lastModifiedBy>珠芽</cp:lastModifiedBy>
  <dcterms:modified xsi:type="dcterms:W3CDTF">2026-05-25T15:08:58Z</dcterms:modified>
  <dc:title>AI+合成生物创新大赛 · AI技术方案书与初步安全审批表</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06F07E6F8CA6410B85D6F572B05A6F8A_12</vt:lpwstr>
  </property>
</Properties>
</file>