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Fonts w:eastAsia="黑体"/>
        </w:rPr>
        <w:t>青少年心理支持智能体作品设计报告</w:t>
      </w:r>
    </w:p>
    <w:p>
      <w:pPr>
        <w:jc w:val="center"/>
      </w:pPr>
      <w:r>
        <w:rPr>
          <w:color w:val="555555"/>
          <w:sz w:val="26"/>
        </w:rPr>
        <w:t>基于 CBT 事实剥离与 RAG 安全边界的个性化心理支持原型</w:t>
      </w:r>
    </w:p>
    <w:p>
      <w:pPr>
        <w:jc w:val="center"/>
      </w:pPr>
      <w:r>
        <w:t>参赛方向：智能体应用方向    适用对象：初中生、高中生及校园心理健康教育场景</w:t>
      </w:r>
    </w:p>
    <w:p>
      <w:pPr>
        <w:jc w:val="center"/>
      </w:pPr>
      <w:r>
        <w:t>版本：Word 草案 V0.2</w:t>
      </w:r>
    </w:p>
    <w:p>
      <w:r>
        <w:br w:type="page"/>
      </w:r>
    </w:p>
    <w:p>
      <w:pPr>
        <w:pStyle w:val="Heading1"/>
      </w:pPr>
      <w:r>
        <w:t>摘要</w:t>
      </w:r>
    </w:p>
    <w:p>
      <w:r>
        <w:t>本项目面向青少年在学业压力、同伴关系、自我评价、亲子沟通等高频心理场景中的情绪支持需求，设计一套基于主流人工智能大模型的心理主题智能体原型。系统以自然语言处理为入口，识别用户倾诉中的事实、信念、情绪、行为倾向与风险信号；以 CBT 认知行为疗法中的 ABC 模型和自动化思维记录为核心解释框架，帮助用户区分“客观发生的事件”和“脑中出现的解释”；以权威指南与政策资料构建 RAG 知识库，确保系统在危机、升高风险、普通支持等不同场景中执行分层回应。</w:t>
      </w:r>
    </w:p>
    <w:tbl>
      <w:tblPr>
        <w:tblW w:type="auto" w:w="0"/>
        <w:jc w:val="center"/>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项目定位</w:t>
            </w:r>
            <w:r>
              <w:br/>
              <w:t>本项目不进行心理诊断，不替代心理咨询、精神科评估、医学检查或危机急救；其定位是心理教育、情绪支持、结构化整理、自助练习与现实求助路径建议。</w:t>
            </w:r>
          </w:p>
        </w:tc>
      </w:tr>
    </w:tbl>
    <w:p/>
    <w:p>
      <w:pPr>
        <w:pStyle w:val="Heading1"/>
      </w:pPr>
      <w:r>
        <w:t>一、项目背景与问题发现</w:t>
      </w:r>
    </w:p>
    <w:p>
      <w:pPr>
        <w:pStyle w:val="Heading2"/>
      </w:pPr>
      <w:r>
        <w:t>1.1 青少年心理需求</w:t>
      </w:r>
    </w:p>
    <w:p>
      <w:r>
        <w:t>青少年阶段处于自我概念发展、学业竞争增强、人际归属需求上升和家庭关系重塑的交汇期。许多心理困扰并不一定以正式疾病形式出现，而是表现为考试失利后的自我否定、同伴互动中的过度推测、教师反馈后的羞耻感，或家长期待下的压力累积。</w:t>
      </w:r>
    </w:p>
    <w:p>
      <w:pPr>
        <w:pStyle w:val="Heading2"/>
      </w:pPr>
      <w:r>
        <w:t>1.2 项目开题调查问卷</w:t>
      </w:r>
    </w:p>
    <w:p>
      <w:r>
        <w:t>在项目刚开始时，我们没有直接进入功能开发，而是先做了一轮关于心理 AI 交互偏好的匿名专项调查。这套问卷对应的实际页面是 `survey.rethink.buleegasy.space`，配套还有一个数据大屏 `re-think-dashboard.pages.dev` 用来汇总样本和偏好分布。截至本次导出的 `survey_export_2026-06-06.csv`，问卷共记录 71 份提交。在项目早期，大屏的角色更像一个需求看板：它用来观察样本逐步累积后，各类偏好会怎样分布，而不是一开始就拿来做结论展示。问卷不是单纯问“你喜不喜欢 AI”，而是围绕中学生在心理健康辅导智能体中的交互响应机制、回复话术风格和情感回馈模式展开。它把一个看似抽象的课题拆成十个可回答的问题：受访者是什么学段、以前有没有用 AI 倾诉、负面状态下最像哪种表情包、在什么场景下会更愿意找 AI 而不是家长或老师、最反感 AI 心理对话里的哪些痛点、希望 AI 记住多少内容、更愿意 AI 扮演什么角色、对付费大致持什么态度、哪一种首屏开场最能卸下防线，以及还有什么真实建议和吐槽。</w:t>
      </w:r>
    </w:p>
    <w:p>
      <w:r>
        <w:t>问卷的价值在于把抽象需求变成可执行的设计约束。第一，它让我们确认了用户并不喜欢一上来就被“盘问”，而是希望系统先给出低压力入口；第二，它把“鸡汤式鼓励”“测评式盘问”“机械模板”和“隐私顾虑”这些痛点具体化，使我们明确必须采用先共情、再剥离事实、最后再给选择权的流程；第三，它帮助我们看见不同用户对记忆边界的差异，有人希望像老朋友一样记住过往，有人则明确需要一键清空或阅后即焚，所以系统不能只做单一路径，而要把记忆控制权写给用户。此外，问卷对“树洞 / 分析师 / 严厉导师 / 心理医生 / 乐子人”等角色偏好，也让我们意识到产品人格不能过于单一，首屏必须支持不同类型的进入方式，既能温和陪伴，也能给出结构化分析。</w:t>
      </w:r>
    </w:p>
    <w:p>
      <w:r>
        <w:t>更重要的是，这份问卷和数据大屏不是做完就结束，而是直接进入项目早期的迭代循环：我们先通过问卷确认青少年的真实偏好，再把这些偏好翻译成产品约束，最后回到首屏开场、模式切换、隐私边界和回应风格上做原型验证。换句话说，问卷不是附属材料，而是项目最早的一次设计校准。</w:t>
      </w:r>
    </w:p>
    <w:p>
      <w:pPr>
        <w:jc w:val="center"/>
      </w:pPr>
      <w:r>
        <w:drawing>
          <wp:inline xmlns:a="http://schemas.openxmlformats.org/drawingml/2006/main" xmlns:pic="http://schemas.openxmlformats.org/drawingml/2006/picture">
            <wp:extent cx="5760720" cy="3420427"/>
            <wp:docPr id="1" name="Picture 1"/>
            <wp:cNvGraphicFramePr>
              <a:graphicFrameLocks noChangeAspect="1"/>
            </wp:cNvGraphicFramePr>
            <a:graphic>
              <a:graphicData uri="http://schemas.openxmlformats.org/drawingml/2006/picture">
                <pic:pic>
                  <pic:nvPicPr>
                    <pic:cNvPr id="0" name="figure02b_questionnaire_items.png"/>
                    <pic:cNvPicPr/>
                  </pic:nvPicPr>
                  <pic:blipFill>
                    <a:blip r:embed="rId9"/>
                    <a:stretch>
                      <a:fillRect/>
                    </a:stretch>
                  </pic:blipFill>
                  <pic:spPr>
                    <a:xfrm>
                      <a:off x="0" y="0"/>
                      <a:ext cx="5760720" cy="3420427"/>
                    </a:xfrm>
                    <a:prstGeom prst="rect"/>
                  </pic:spPr>
                </pic:pic>
              </a:graphicData>
            </a:graphic>
          </wp:inline>
        </w:drawing>
      </w:r>
    </w:p>
    <w:p>
      <w:pPr>
        <w:jc w:val="center"/>
      </w:pPr>
      <w:r>
        <w:rPr>
          <w:i/>
          <w:color w:val="555555"/>
          <w:sz w:val="18"/>
        </w:rPr>
        <w:t>Figure 1. 问卷题项到模块设计的追踪矩阵。</w:t>
      </w:r>
    </w:p>
    <w:p>
      <w:r>
        <w:t>开放反馈进一步说明了为什么这些分布会转化为具体模块。用户不是简单要求“更温柔”，而是在反复表达三个更具体的需求：第一，AI 不能只安慰，还要能分析；第二，AI 不能像模板，要能记住上下文和个人经历；第三，AI 给出的建议要落到当下可做的小动作。这些原话直接成为后续模块设计的动机。</w:t>
      </w:r>
    </w:p>
    <w:p>
      <w:r>
        <w:t>其中两条较长的开放评论尤其能说明项目从“普通聊天工具”转向“问卷驱动的心理支持智能体”的原因。#survey-mq2... 在 2026/6/6 21:19:45 写道：“我希望他/她能像我的好朋友一样能鼓励我共情我，不要很生硬，就像聊天一样。”这句话直接推动了我们对低压力开场、同伴式语气和拟人化提示词的设计：系统不能像冷冰冰的问诊表，也不能只输出标准化心理教育，而要先让用户感觉自己是在和一个能接住情绪的人说话。</w:t>
      </w:r>
    </w:p>
    <w:p>
      <w:r>
        <w:t>另一条 #survey-mq1... 在 2026/6/6 10:41:32 写道：“嗯，deepseek（目前只和dd聊过）能很理性的分析，又能用很温暖的句子戳中人心，但是建议有些空泛，比如抑郁发作时什么都不想动情绪很糟糕不知道做什么能缓解，说实话心理医生的建议也有限，我把希望寄托在dd上，但是都是大差不差的回答 希望可以更人性化一点，因为用久了会发现，其实回答有一些模板化，然后希望可以更专业一点的评估，虽然不能代替正规的确诊，但是也许可以反映一些当下的情况，希望可以让更多的人提早发现自己的心理问题，因为我自己确诊前真的就是过完发作期（非常惨烈的大哭）之后大脑应该因为自我保护选择模糊这段记忆，就是一种极端的空虚与茫然，不知道为什么而哭，然后就会自然而然的认为自己现在目前状态还可以，就不会想到去医院之类的事情，就这样反复会让自己在大多数时间里觉得自己是正常的，而过了发作期，也就不会想要去医院，所以真的是这样反复拖了很久，导致之后很严重了才去开药，所以希望可以让大家早点发现早点确诊早点药物治疗不要像我一样。”这条反馈暴露出更复杂的需求：用户既需要温暖和人性化，又需要比空泛建议更具体的行动提示；既期待专业评估感，又明确不能让 AI 替代正规诊断。因此，项目后续把“短句化回应、微小行动建议、RAG 专业知识支撑、非诊断边界和危机分流”放在同一条设计链路中，而不是只做语气优化。</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fill="E8EEF5"/>
            <w:tcMar>
              <w:top w:w="80" w:type="dxa"/>
              <w:start w:w="120" w:type="dxa"/>
              <w:bottom w:w="80" w:type="dxa"/>
              <w:end w:w="120" w:type="dxa"/>
            </w:tcMar>
            <w:vAlign w:val="center"/>
          </w:tcPr>
          <w:p>
            <w:r>
              <w:rPr>
                <w:rFonts w:ascii="Calibri" w:hAnsi="Calibri" w:eastAsia="黑体"/>
                <w:b/>
              </w:rPr>
              <w:t>开放反馈原话</w:t>
            </w:r>
          </w:p>
        </w:tc>
        <w:tc>
          <w:tcPr>
            <w:tcW w:type="dxa" w:w="2880"/>
            <w:shd w:fill="E8EEF5"/>
            <w:tcMar>
              <w:top w:w="80" w:type="dxa"/>
              <w:start w:w="120" w:type="dxa"/>
              <w:bottom w:w="80" w:type="dxa"/>
              <w:end w:w="120" w:type="dxa"/>
            </w:tcMar>
            <w:vAlign w:val="center"/>
          </w:tcPr>
          <w:p>
            <w:r>
              <w:rPr>
                <w:rFonts w:ascii="Calibri" w:hAnsi="Calibri" w:eastAsia="黑体"/>
                <w:b/>
              </w:rPr>
              <w:t>暴露的问题</w:t>
            </w:r>
          </w:p>
        </w:tc>
        <w:tc>
          <w:tcPr>
            <w:tcW w:type="dxa" w:w="2592"/>
            <w:shd w:fill="E8EEF5"/>
            <w:tcMar>
              <w:top w:w="80" w:type="dxa"/>
              <w:start w:w="120" w:type="dxa"/>
              <w:bottom w:w="80" w:type="dxa"/>
              <w:end w:w="120" w:type="dxa"/>
            </w:tcMar>
            <w:vAlign w:val="center"/>
          </w:tcPr>
          <w:p>
            <w:r>
              <w:rPr>
                <w:rFonts w:ascii="Calibri" w:hAnsi="Calibri" w:eastAsia="黑体"/>
                <w:b/>
              </w:rPr>
              <w:t>对应模块</w:t>
            </w:r>
          </w:p>
        </w:tc>
      </w:tr>
      <w:tr>
        <w:tc>
          <w:tcPr>
            <w:tcW w:type="dxa" w:w="3744"/>
            <w:tcMar>
              <w:top w:w="80" w:type="dxa"/>
              <w:start w:w="120" w:type="dxa"/>
              <w:bottom w:w="80" w:type="dxa"/>
              <w:end w:w="120" w:type="dxa"/>
            </w:tcMar>
            <w:vAlign w:val="center"/>
          </w:tcPr>
          <w:p>
            <w:r>
              <w:t>“希望不要再只是安慰我 合理去分析我的问题”</w:t>
            </w:r>
          </w:p>
        </w:tc>
        <w:tc>
          <w:tcPr>
            <w:tcW w:type="dxa" w:w="2880"/>
            <w:tcMar>
              <w:top w:w="80" w:type="dxa"/>
              <w:start w:w="120" w:type="dxa"/>
              <w:bottom w:w="80" w:type="dxa"/>
              <w:end w:w="120" w:type="dxa"/>
            </w:tcMar>
            <w:vAlign w:val="center"/>
          </w:tcPr>
          <w:p>
            <w:r>
              <w:t>单纯共情不足，用户需要结构化分析。</w:t>
            </w:r>
          </w:p>
        </w:tc>
        <w:tc>
          <w:tcPr>
            <w:tcW w:type="dxa" w:w="2592"/>
            <w:tcMar>
              <w:top w:w="80" w:type="dxa"/>
              <w:start w:w="120" w:type="dxa"/>
              <w:bottom w:w="80" w:type="dxa"/>
              <w:end w:w="120" w:type="dxa"/>
            </w:tcMar>
            <w:vAlign w:val="center"/>
          </w:tcPr>
          <w:p>
            <w:r>
              <w:t>ABC事实剥离、认知偏差识别</w:t>
            </w:r>
          </w:p>
        </w:tc>
      </w:tr>
      <w:tr>
        <w:tc>
          <w:tcPr>
            <w:tcW w:type="dxa" w:w="3744"/>
            <w:tcMar>
              <w:top w:w="80" w:type="dxa"/>
              <w:start w:w="120" w:type="dxa"/>
              <w:bottom w:w="80" w:type="dxa"/>
              <w:end w:w="120" w:type="dxa"/>
            </w:tcMar>
            <w:vAlign w:val="center"/>
          </w:tcPr>
          <w:p>
            <w:r>
              <w:t>“不是那种完全套话”</w:t>
            </w:r>
          </w:p>
        </w:tc>
        <w:tc>
          <w:tcPr>
            <w:tcW w:type="dxa" w:w="2880"/>
            <w:tcMar>
              <w:top w:w="80" w:type="dxa"/>
              <w:start w:w="120" w:type="dxa"/>
              <w:bottom w:w="80" w:type="dxa"/>
              <w:end w:w="120" w:type="dxa"/>
            </w:tcMar>
            <w:vAlign w:val="center"/>
          </w:tcPr>
          <w:p>
            <w:r>
              <w:t>模板化回应降低信任。</w:t>
            </w:r>
          </w:p>
        </w:tc>
        <w:tc>
          <w:tcPr>
            <w:tcW w:type="dxa" w:w="2592"/>
            <w:tcMar>
              <w:top w:w="80" w:type="dxa"/>
              <w:start w:w="120" w:type="dxa"/>
              <w:bottom w:w="80" w:type="dxa"/>
              <w:end w:w="120" w:type="dxa"/>
            </w:tcMar>
            <w:vAlign w:val="center"/>
          </w:tcPr>
          <w:p>
            <w:r>
              <w:t>个性化回应生成、上下文引用</w:t>
            </w:r>
          </w:p>
        </w:tc>
      </w:tr>
      <w:tr>
        <w:tc>
          <w:tcPr>
            <w:tcW w:type="dxa" w:w="3744"/>
            <w:tcMar>
              <w:top w:w="80" w:type="dxa"/>
              <w:start w:w="120" w:type="dxa"/>
              <w:bottom w:w="80" w:type="dxa"/>
              <w:end w:w="120" w:type="dxa"/>
            </w:tcMar>
            <w:vAlign w:val="center"/>
          </w:tcPr>
          <w:p>
            <w:r>
              <w:t>“不要太套路化了，感觉每次都能猜到ai说什么”</w:t>
            </w:r>
          </w:p>
        </w:tc>
        <w:tc>
          <w:tcPr>
            <w:tcW w:type="dxa" w:w="2880"/>
            <w:tcMar>
              <w:top w:w="80" w:type="dxa"/>
              <w:start w:w="120" w:type="dxa"/>
              <w:bottom w:w="80" w:type="dxa"/>
              <w:end w:w="120" w:type="dxa"/>
            </w:tcMar>
            <w:vAlign w:val="center"/>
          </w:tcPr>
          <w:p>
            <w:r>
              <w:t>固定话术会让心理支持失真。</w:t>
            </w:r>
          </w:p>
        </w:tc>
        <w:tc>
          <w:tcPr>
            <w:tcW w:type="dxa" w:w="2592"/>
            <w:tcMar>
              <w:top w:w="80" w:type="dxa"/>
              <w:start w:w="120" w:type="dxa"/>
              <w:bottom w:w="80" w:type="dxa"/>
              <w:end w:w="120" w:type="dxa"/>
            </w:tcMar>
            <w:vAlign w:val="center"/>
          </w:tcPr>
          <w:p>
            <w:r>
              <w:t>RAG检索与场景化生成</w:t>
            </w:r>
          </w:p>
        </w:tc>
      </w:tr>
      <w:tr>
        <w:tc>
          <w:tcPr>
            <w:tcW w:type="dxa" w:w="3744"/>
            <w:tcMar>
              <w:top w:w="80" w:type="dxa"/>
              <w:start w:w="120" w:type="dxa"/>
              <w:bottom w:w="80" w:type="dxa"/>
              <w:end w:w="120" w:type="dxa"/>
            </w:tcMar>
            <w:vAlign w:val="center"/>
          </w:tcPr>
          <w:p>
            <w:r>
              <w:t>“辅导时可以多给一点当下能做的一些微小能缓解压力行为的建议”</w:t>
            </w:r>
          </w:p>
        </w:tc>
        <w:tc>
          <w:tcPr>
            <w:tcW w:type="dxa" w:w="2880"/>
            <w:tcMar>
              <w:top w:w="80" w:type="dxa"/>
              <w:start w:w="120" w:type="dxa"/>
              <w:bottom w:w="80" w:type="dxa"/>
              <w:end w:w="120" w:type="dxa"/>
            </w:tcMar>
            <w:vAlign w:val="center"/>
          </w:tcPr>
          <w:p>
            <w:r>
              <w:t>建议必须可执行、低成本。</w:t>
            </w:r>
          </w:p>
        </w:tc>
        <w:tc>
          <w:tcPr>
            <w:tcW w:type="dxa" w:w="2592"/>
            <w:tcMar>
              <w:top w:w="80" w:type="dxa"/>
              <w:start w:w="120" w:type="dxa"/>
              <w:bottom w:w="80" w:type="dxa"/>
              <w:end w:w="120" w:type="dxa"/>
            </w:tcMar>
            <w:vAlign w:val="center"/>
          </w:tcPr>
          <w:p>
            <w:r>
              <w:t>小行动建议模块</w:t>
            </w:r>
          </w:p>
        </w:tc>
      </w:tr>
      <w:tr>
        <w:tc>
          <w:tcPr>
            <w:tcW w:type="dxa" w:w="3744"/>
            <w:tcMar>
              <w:top w:w="80" w:type="dxa"/>
              <w:start w:w="120" w:type="dxa"/>
              <w:bottom w:w="80" w:type="dxa"/>
              <w:end w:w="120" w:type="dxa"/>
            </w:tcMar>
            <w:vAlign w:val="center"/>
          </w:tcPr>
          <w:p>
            <w:r>
              <w:t>“记住我之前说过的事”</w:t>
            </w:r>
          </w:p>
        </w:tc>
        <w:tc>
          <w:tcPr>
            <w:tcW w:type="dxa" w:w="2880"/>
            <w:tcMar>
              <w:top w:w="80" w:type="dxa"/>
              <w:start w:w="120" w:type="dxa"/>
              <w:bottom w:w="80" w:type="dxa"/>
              <w:end w:w="120" w:type="dxa"/>
            </w:tcMar>
            <w:vAlign w:val="center"/>
          </w:tcPr>
          <w:p>
            <w:r>
              <w:t>用户需要连续性支持。</w:t>
            </w:r>
          </w:p>
        </w:tc>
        <w:tc>
          <w:tcPr>
            <w:tcW w:type="dxa" w:w="2592"/>
            <w:tcMar>
              <w:top w:w="80" w:type="dxa"/>
              <w:start w:w="120" w:type="dxa"/>
              <w:bottom w:w="80" w:type="dxa"/>
              <w:end w:w="120" w:type="dxa"/>
            </w:tcMar>
            <w:vAlign w:val="center"/>
          </w:tcPr>
          <w:p>
            <w:r>
              <w:t>用户可控记忆与上下文管理</w:t>
            </w:r>
          </w:p>
        </w:tc>
      </w:tr>
      <w:tr>
        <w:tc>
          <w:tcPr>
            <w:tcW w:type="dxa" w:w="3744"/>
            <w:tcMar>
              <w:top w:w="80" w:type="dxa"/>
              <w:start w:w="120" w:type="dxa"/>
              <w:bottom w:w="80" w:type="dxa"/>
              <w:end w:w="120" w:type="dxa"/>
            </w:tcMar>
            <w:vAlign w:val="center"/>
          </w:tcPr>
          <w:p>
            <w:r>
              <w:t>“可以理性但不能太理性，要感性”</w:t>
            </w:r>
          </w:p>
        </w:tc>
        <w:tc>
          <w:tcPr>
            <w:tcW w:type="dxa" w:w="2880"/>
            <w:tcMar>
              <w:top w:w="80" w:type="dxa"/>
              <w:start w:w="120" w:type="dxa"/>
              <w:bottom w:w="80" w:type="dxa"/>
              <w:end w:w="120" w:type="dxa"/>
            </w:tcMar>
            <w:vAlign w:val="center"/>
          </w:tcPr>
          <w:p>
            <w:r>
              <w:t>理性分析与情绪承接需要平衡。</w:t>
            </w:r>
          </w:p>
        </w:tc>
        <w:tc>
          <w:tcPr>
            <w:tcW w:type="dxa" w:w="2592"/>
            <w:tcMar>
              <w:top w:w="80" w:type="dxa"/>
              <w:start w:w="120" w:type="dxa"/>
              <w:bottom w:w="80" w:type="dxa"/>
              <w:end w:w="120" w:type="dxa"/>
            </w:tcMar>
            <w:vAlign w:val="center"/>
          </w:tcPr>
          <w:p>
            <w:r>
              <w:t>情感计算与回应风格调节</w:t>
            </w:r>
          </w:p>
        </w:tc>
      </w:tr>
      <w:tr>
        <w:tc>
          <w:tcPr>
            <w:tcW w:type="dxa" w:w="3744"/>
            <w:tcMar>
              <w:top w:w="80" w:type="dxa"/>
              <w:start w:w="120" w:type="dxa"/>
              <w:bottom w:w="80" w:type="dxa"/>
              <w:end w:w="120" w:type="dxa"/>
            </w:tcMar>
            <w:vAlign w:val="center"/>
          </w:tcPr>
          <w:p>
            <w:r>
              <w:t>“对于一些内向的同学，他们可以毫无顾虑的接受ai心理辅导”</w:t>
            </w:r>
          </w:p>
        </w:tc>
        <w:tc>
          <w:tcPr>
            <w:tcW w:type="dxa" w:w="2880"/>
            <w:tcMar>
              <w:top w:w="80" w:type="dxa"/>
              <w:start w:w="120" w:type="dxa"/>
              <w:bottom w:w="80" w:type="dxa"/>
              <w:end w:w="120" w:type="dxa"/>
            </w:tcMar>
            <w:vAlign w:val="center"/>
          </w:tcPr>
          <w:p>
            <w:r>
              <w:t>匿名、低压力入口具有价值。</w:t>
            </w:r>
          </w:p>
        </w:tc>
        <w:tc>
          <w:tcPr>
            <w:tcW w:type="dxa" w:w="2592"/>
            <w:tcMar>
              <w:top w:w="80" w:type="dxa"/>
              <w:start w:w="120" w:type="dxa"/>
              <w:bottom w:w="80" w:type="dxa"/>
              <w:end w:w="120" w:type="dxa"/>
            </w:tcMar>
            <w:vAlign w:val="center"/>
          </w:tcPr>
          <w:p>
            <w:r>
              <w:t>隐私边界、低压力首屏</w:t>
            </w:r>
          </w:p>
        </w:tc>
      </w:tr>
    </w:tbl>
    <w:p/>
    <w:p>
      <w:pPr>
        <w:pStyle w:val="Heading2"/>
      </w:pPr>
      <w:r>
        <w:t>1.3 我们发现的关键问题</w:t>
      </w:r>
    </w:p>
    <w:p>
      <w:r>
        <w:t>在梳理项目需求和早期样例时，我们发现，如果只让大模型“安慰用户”，容易出现三类问题：第一，模型可能把用户的主观推断当作事实；第二，模型可能输出空泛鼓励，不能帮助用户形成具体行动；第三，危机场景下如果继续做普通认知重构，会延误现实求助。因此，项目没有把目标设定为“做一个会聊天的机器人”，而是把目标设定为“做一个能按心理安全规则工作、能被验证的支持型智能体”。</w:t>
      </w:r>
    </w:p>
    <w:p>
      <w:pPr>
        <w:pStyle w:val="Heading1"/>
      </w:pPr>
      <w:r>
        <w:t>二、项目目的</w:t>
      </w:r>
    </w:p>
    <w:p>
      <w:r>
        <w:t>本项目目标不是单纯完成一个聊天界面，而是围绕“青少年是否愿意使用、系统是否能安全回应、回应是否具备心理学结构、方案是否可验证”四个问题建立完整原型。为此，项目将用户研究、心理学规则、知识库治理和原型测试放在同一条设计链路中：先通过问卷识别青少年对心理 AI 的真实偏好，再把偏好转化为交互原则；随后用 CBT 和风险路由约束智能体回应，最后通过测试用例、知识库脚本和过程性材料证明系统可以被复核。</w:t>
      </w:r>
    </w:p>
    <w:p>
      <w:r>
        <w:t>具体目标包括：</w:t>
      </w:r>
    </w:p>
    <w:p>
      <w:pPr>
        <w:pStyle w:val="ListNumber"/>
      </w:pPr>
      <w:r>
        <w:t>识别青少年倾诉中的客观事实、主观解释、情绪与行为倾向。</w:t>
      </w:r>
    </w:p>
    <w:p>
      <w:pPr>
        <w:pStyle w:val="ListNumber"/>
      </w:pPr>
      <w:r>
        <w:t>根据 CBT ABC 模型帮助用户区分“发生了什么”和“我如何理解它”。</w:t>
      </w:r>
    </w:p>
    <w:p>
      <w:pPr>
        <w:pStyle w:val="ListNumber"/>
      </w:pPr>
      <w:r>
        <w:t>识别非黑即白、读心术、灾难化、过度概括、个人化等常见认知偏差。</w:t>
      </w:r>
    </w:p>
    <w:p>
      <w:pPr>
        <w:pStyle w:val="ListNumber"/>
      </w:pPr>
      <w:r>
        <w:t>根据风险等级调用不同响应策略，普通压力场景提供情绪支持和小行动建议，危机场景优先给出现实求助路径。</w:t>
      </w:r>
    </w:p>
    <w:p>
      <w:pPr>
        <w:pStyle w:val="ListNumber"/>
      </w:pPr>
      <w:r>
        <w:t>通过 RAG 知识库引入权威指南、政策资料和 CBT 理论，提升输出的可解释性和可追溯性。</w:t>
      </w:r>
    </w:p>
    <w:p>
      <w:pPr>
        <w:pStyle w:val="Heading2"/>
      </w:pPr>
      <w:r>
        <w:t>2.1 研究问题</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E8EEF5"/>
            <w:tcMar>
              <w:top w:w="80" w:type="dxa"/>
              <w:start w:w="120" w:type="dxa"/>
              <w:bottom w:w="80" w:type="dxa"/>
              <w:end w:w="120" w:type="dxa"/>
            </w:tcMar>
            <w:vAlign w:val="center"/>
          </w:tcPr>
          <w:p>
            <w:r>
              <w:rPr>
                <w:rFonts w:ascii="Calibri" w:hAnsi="Calibri" w:eastAsia="黑体"/>
                <w:b/>
              </w:rPr>
              <w:t>研究问题</w:t>
            </w:r>
          </w:p>
        </w:tc>
        <w:tc>
          <w:tcPr>
            <w:tcW w:type="dxa" w:w="3600"/>
            <w:shd w:fill="E8EEF5"/>
            <w:tcMar>
              <w:top w:w="80" w:type="dxa"/>
              <w:start w:w="120" w:type="dxa"/>
              <w:bottom w:w="80" w:type="dxa"/>
              <w:end w:w="120" w:type="dxa"/>
            </w:tcMar>
            <w:vAlign w:val="center"/>
          </w:tcPr>
          <w:p>
            <w:r>
              <w:rPr>
                <w:rFonts w:ascii="Calibri" w:hAnsi="Calibri" w:eastAsia="黑体"/>
                <w:b/>
              </w:rPr>
              <w:t>对应设计任务</w:t>
            </w:r>
          </w:p>
        </w:tc>
        <w:tc>
          <w:tcPr>
            <w:tcW w:type="dxa" w:w="2880"/>
            <w:shd w:fill="E8EEF5"/>
            <w:tcMar>
              <w:top w:w="80" w:type="dxa"/>
              <w:start w:w="120" w:type="dxa"/>
              <w:bottom w:w="80" w:type="dxa"/>
              <w:end w:w="120" w:type="dxa"/>
            </w:tcMar>
            <w:vAlign w:val="center"/>
          </w:tcPr>
          <w:p>
            <w:r>
              <w:rPr>
                <w:rFonts w:ascii="Calibri" w:hAnsi="Calibri" w:eastAsia="黑体"/>
                <w:b/>
              </w:rPr>
              <w:t>验证材料</w:t>
            </w:r>
          </w:p>
        </w:tc>
      </w:tr>
      <w:tr>
        <w:tc>
          <w:tcPr>
            <w:tcW w:type="dxa" w:w="2592"/>
            <w:tcMar>
              <w:top w:w="80" w:type="dxa"/>
              <w:start w:w="120" w:type="dxa"/>
              <w:bottom w:w="80" w:type="dxa"/>
              <w:end w:w="120" w:type="dxa"/>
            </w:tcMar>
            <w:vAlign w:val="center"/>
          </w:tcPr>
          <w:p>
            <w:r>
              <w:t>RQ1：青少年在什么心理场景下愿意使用 AI？</w:t>
            </w:r>
          </w:p>
        </w:tc>
        <w:tc>
          <w:tcPr>
            <w:tcW w:type="dxa" w:w="3600"/>
            <w:tcMar>
              <w:top w:w="80" w:type="dxa"/>
              <w:start w:w="120" w:type="dxa"/>
              <w:bottom w:w="80" w:type="dxa"/>
              <w:end w:w="120" w:type="dxa"/>
            </w:tcMar>
            <w:vAlign w:val="center"/>
          </w:tcPr>
          <w:p>
            <w:r>
              <w:t>开题问卷识别高频求助场景、反感痛点和角色偏好。</w:t>
            </w:r>
          </w:p>
        </w:tc>
        <w:tc>
          <w:tcPr>
            <w:tcW w:type="dxa" w:w="2880"/>
            <w:tcMar>
              <w:top w:w="80" w:type="dxa"/>
              <w:start w:w="120" w:type="dxa"/>
              <w:bottom w:w="80" w:type="dxa"/>
              <w:end w:w="120" w:type="dxa"/>
            </w:tcMar>
            <w:vAlign w:val="center"/>
          </w:tcPr>
          <w:p>
            <w:r>
              <w:t>问卷页面、数据大屏、问卷题项映射图。</w:t>
            </w:r>
          </w:p>
        </w:tc>
      </w:tr>
      <w:tr>
        <w:tc>
          <w:tcPr>
            <w:tcW w:type="dxa" w:w="2592"/>
            <w:tcMar>
              <w:top w:w="80" w:type="dxa"/>
              <w:start w:w="120" w:type="dxa"/>
              <w:bottom w:w="80" w:type="dxa"/>
              <w:end w:w="120" w:type="dxa"/>
            </w:tcMar>
            <w:vAlign w:val="center"/>
          </w:tcPr>
          <w:p>
            <w:r>
              <w:t>RQ2：智能体如何避免把主观评价当成事实？</w:t>
            </w:r>
          </w:p>
        </w:tc>
        <w:tc>
          <w:tcPr>
            <w:tcW w:type="dxa" w:w="3600"/>
            <w:tcMar>
              <w:top w:w="80" w:type="dxa"/>
              <w:start w:w="120" w:type="dxa"/>
              <w:bottom w:w="80" w:type="dxa"/>
              <w:end w:w="120" w:type="dxa"/>
            </w:tcMar>
            <w:vAlign w:val="center"/>
          </w:tcPr>
          <w:p>
            <w:r>
              <w:t>建立 ABC 事实剥离 SOP 和监控摄像头标准。</w:t>
            </w:r>
          </w:p>
        </w:tc>
        <w:tc>
          <w:tcPr>
            <w:tcW w:type="dxa" w:w="2880"/>
            <w:tcMar>
              <w:top w:w="80" w:type="dxa"/>
              <w:start w:w="120" w:type="dxa"/>
              <w:bottom w:w="80" w:type="dxa"/>
              <w:end w:w="120" w:type="dxa"/>
            </w:tcMar>
            <w:vAlign w:val="center"/>
          </w:tcPr>
          <w:p>
            <w:r>
              <w:t>核心规则文档、样例对话、功能测试用例。</w:t>
            </w:r>
          </w:p>
        </w:tc>
      </w:tr>
      <w:tr>
        <w:tc>
          <w:tcPr>
            <w:tcW w:type="dxa" w:w="2592"/>
            <w:tcMar>
              <w:top w:w="80" w:type="dxa"/>
              <w:start w:w="120" w:type="dxa"/>
              <w:bottom w:w="80" w:type="dxa"/>
              <w:end w:w="120" w:type="dxa"/>
            </w:tcMar>
            <w:vAlign w:val="center"/>
          </w:tcPr>
          <w:p>
            <w:r>
              <w:t>RQ3：系统如何处理普通压力与危机风险的差异？</w:t>
            </w:r>
          </w:p>
        </w:tc>
        <w:tc>
          <w:tcPr>
            <w:tcW w:type="dxa" w:w="3600"/>
            <w:tcMar>
              <w:top w:w="80" w:type="dxa"/>
              <w:start w:w="120" w:type="dxa"/>
              <w:bottom w:w="80" w:type="dxa"/>
              <w:end w:w="120" w:type="dxa"/>
            </w:tcMar>
            <w:vAlign w:val="center"/>
          </w:tcPr>
          <w:p>
            <w:r>
              <w:t>设计风险路由和 crisis 知识块优先召回机制。</w:t>
            </w:r>
          </w:p>
        </w:tc>
        <w:tc>
          <w:tcPr>
            <w:tcW w:type="dxa" w:w="2880"/>
            <w:tcMar>
              <w:top w:w="80" w:type="dxa"/>
              <w:start w:w="120" w:type="dxa"/>
              <w:bottom w:w="80" w:type="dxa"/>
              <w:end w:w="120" w:type="dxa"/>
            </w:tcMar>
            <w:vAlign w:val="center"/>
          </w:tcPr>
          <w:p>
            <w:r>
              <w:t>RAG 质量规则、危机测试用例、伦理边界图。</w:t>
            </w:r>
          </w:p>
        </w:tc>
      </w:tr>
      <w:tr>
        <w:tc>
          <w:tcPr>
            <w:tcW w:type="dxa" w:w="2592"/>
            <w:tcMar>
              <w:top w:w="80" w:type="dxa"/>
              <w:start w:w="120" w:type="dxa"/>
              <w:bottom w:w="80" w:type="dxa"/>
              <w:end w:w="120" w:type="dxa"/>
            </w:tcMar>
            <w:vAlign w:val="center"/>
          </w:tcPr>
          <w:p>
            <w:r>
              <w:t>RQ4：知识来源如何保证可追溯？</w:t>
            </w:r>
          </w:p>
        </w:tc>
        <w:tc>
          <w:tcPr>
            <w:tcW w:type="dxa" w:w="3600"/>
            <w:tcMar>
              <w:top w:w="80" w:type="dxa"/>
              <w:start w:w="120" w:type="dxa"/>
              <w:bottom w:w="80" w:type="dxa"/>
              <w:end w:w="120" w:type="dxa"/>
            </w:tcMar>
            <w:vAlign w:val="center"/>
          </w:tcPr>
          <w:p>
            <w:r>
              <w:t>区分权威指南、政策文件、CBT 理论和合成示例。</w:t>
            </w:r>
          </w:p>
        </w:tc>
        <w:tc>
          <w:tcPr>
            <w:tcW w:type="dxa" w:w="2880"/>
            <w:tcMar>
              <w:top w:w="80" w:type="dxa"/>
              <w:start w:w="120" w:type="dxa"/>
              <w:bottom w:w="80" w:type="dxa"/>
              <w:end w:w="120" w:type="dxa"/>
            </w:tcMar>
            <w:vAlign w:val="center"/>
          </w:tcPr>
          <w:p>
            <w:r>
              <w:t>来源索引、JSONL 元数据、验证脚本。</w:t>
            </w:r>
          </w:p>
        </w:tc>
      </w:tr>
    </w:tbl>
    <w:p/>
    <w:p>
      <w:pPr>
        <w:pStyle w:val="Heading2"/>
      </w:pPr>
      <w:r>
        <w:t>2.2 设计原则</w:t>
      </w:r>
    </w:p>
    <w:p>
      <w:r>
        <w:t>基于问卷反馈和心理安全要求，项目形成四条设计原则。第一，低压力进入：用户不需要一开始就完整讲述问题，可以通过表情包、短句或模式选择进入对话。第二，先接纳再分析：系统先确认情绪，再拆分事实和解释，避免上来盘问或说教。第三，用户可控：对记忆、隐私、对话节奏和是否继续分析保留选择权。第四，安全优先：当出现危机信号时，系统停止普通陪聊和认知重构，转向现实求助和专业资源。</w:t>
      </w:r>
    </w:p>
    <w:p>
      <w:pPr>
        <w:pStyle w:val="Heading1"/>
      </w:pPr>
      <w:r>
        <w:t>三、系统设计与功能</w:t>
      </w:r>
    </w:p>
    <w:p>
      <w:pPr>
        <w:pStyle w:val="Heading2"/>
      </w:pPr>
      <w:r>
        <w:t>3.1 总体架构</w:t>
      </w:r>
    </w:p>
    <w:p>
      <w:r>
        <w:t>总体架构的设计动机来自问卷中的两个集中反馈：一类用户担心 AI “说话机械套路”，另一类用户希望 AI “合理去分析我的问题”。因此，系统不能只依赖单次生成，而需要把理解、分析、安全、检索和输出拆成可解释的模块。系统由自然语言理解、ABC 事实剥离、情绪识别、风险路由、RAG 知识检索和回应生成六个模块组成。用户输入首先进入自然语言理解模块，系统提取情绪词、绝对化表达、他人动机推测和风险信号；随后通过 ABC 模块把事实、信念和情绪行为分开；风险路由模块决定是否进入普通支持、升高风险支持或危机安全处置。</w:t>
      </w:r>
    </w:p>
    <w:p>
      <w:r>
        <w:t>在工程实现上，系统采用“输入解析-安全判断-知识检索-回应生成-输出校验”的流水线结构。这样做的原因是，心理支持场景中的错误往往不是单一文本生成错误，而是由多个环节叠加造成：如果输入解析阶段没有识别出危机词，后续回应可能错误进入普通安慰；如果知识检索阶段没有召回权威指南，系统可能输出没有边界的建议；如果输出校验阶段没有检查诊断化表达，回应可能超出非诊断定位。因此，本项目把安全检查前置，并在回应生成后再次进行边界校验。</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E8EEF5"/>
            <w:tcMar>
              <w:top w:w="80" w:type="dxa"/>
              <w:start w:w="120" w:type="dxa"/>
              <w:bottom w:w="80" w:type="dxa"/>
              <w:end w:w="120" w:type="dxa"/>
            </w:tcMar>
            <w:vAlign w:val="center"/>
          </w:tcPr>
          <w:p>
            <w:r>
              <w:rPr>
                <w:rFonts w:ascii="Calibri" w:hAnsi="Calibri" w:eastAsia="黑体"/>
                <w:b/>
              </w:rPr>
              <w:t>模块</w:t>
            </w:r>
          </w:p>
        </w:tc>
        <w:tc>
          <w:tcPr>
            <w:tcW w:type="dxa" w:w="2016"/>
            <w:shd w:fill="E8EEF5"/>
            <w:tcMar>
              <w:top w:w="80" w:type="dxa"/>
              <w:start w:w="120" w:type="dxa"/>
              <w:bottom w:w="80" w:type="dxa"/>
              <w:end w:w="120" w:type="dxa"/>
            </w:tcMar>
            <w:vAlign w:val="center"/>
          </w:tcPr>
          <w:p>
            <w:r>
              <w:rPr>
                <w:rFonts w:ascii="Calibri" w:hAnsi="Calibri" w:eastAsia="黑体"/>
                <w:b/>
              </w:rPr>
              <w:t>输入</w:t>
            </w:r>
          </w:p>
        </w:tc>
        <w:tc>
          <w:tcPr>
            <w:tcW w:type="dxa" w:w="3168"/>
            <w:shd w:fill="E8EEF5"/>
            <w:tcMar>
              <w:top w:w="80" w:type="dxa"/>
              <w:start w:w="120" w:type="dxa"/>
              <w:bottom w:w="80" w:type="dxa"/>
              <w:end w:w="120" w:type="dxa"/>
            </w:tcMar>
            <w:vAlign w:val="center"/>
          </w:tcPr>
          <w:p>
            <w:r>
              <w:rPr>
                <w:rFonts w:ascii="Calibri" w:hAnsi="Calibri" w:eastAsia="黑体"/>
                <w:b/>
              </w:rPr>
              <w:t>处理逻辑</w:t>
            </w:r>
          </w:p>
        </w:tc>
        <w:tc>
          <w:tcPr>
            <w:tcW w:type="dxa" w:w="2160"/>
            <w:shd w:fill="E8EEF5"/>
            <w:tcMar>
              <w:top w:w="80" w:type="dxa"/>
              <w:start w:w="120" w:type="dxa"/>
              <w:bottom w:w="80" w:type="dxa"/>
              <w:end w:w="120" w:type="dxa"/>
            </w:tcMar>
            <w:vAlign w:val="center"/>
          </w:tcPr>
          <w:p>
            <w:r>
              <w:rPr>
                <w:rFonts w:ascii="Calibri" w:hAnsi="Calibri" w:eastAsia="黑体"/>
                <w:b/>
              </w:rPr>
              <w:t>输出</w:t>
            </w:r>
          </w:p>
        </w:tc>
      </w:tr>
      <w:tr>
        <w:tc>
          <w:tcPr>
            <w:tcW w:type="dxa" w:w="1728"/>
            <w:tcMar>
              <w:top w:w="80" w:type="dxa"/>
              <w:start w:w="120" w:type="dxa"/>
              <w:bottom w:w="80" w:type="dxa"/>
              <w:end w:w="120" w:type="dxa"/>
            </w:tcMar>
            <w:vAlign w:val="center"/>
          </w:tcPr>
          <w:p>
            <w:r>
              <w:t>自然语言理解</w:t>
            </w:r>
          </w:p>
        </w:tc>
        <w:tc>
          <w:tcPr>
            <w:tcW w:type="dxa" w:w="2016"/>
            <w:tcMar>
              <w:top w:w="80" w:type="dxa"/>
              <w:start w:w="120" w:type="dxa"/>
              <w:bottom w:w="80" w:type="dxa"/>
              <w:end w:w="120" w:type="dxa"/>
            </w:tcMar>
            <w:vAlign w:val="center"/>
          </w:tcPr>
          <w:p>
            <w:r>
              <w:t>用户原始倾诉</w:t>
            </w:r>
          </w:p>
        </w:tc>
        <w:tc>
          <w:tcPr>
            <w:tcW w:type="dxa" w:w="3168"/>
            <w:tcMar>
              <w:top w:w="80" w:type="dxa"/>
              <w:start w:w="120" w:type="dxa"/>
              <w:bottom w:w="80" w:type="dxa"/>
              <w:end w:w="120" w:type="dxa"/>
            </w:tcMar>
            <w:vAlign w:val="center"/>
          </w:tcPr>
          <w:p>
            <w:r>
              <w:t>抽取事实词、情绪词、绝对化词、风险词。</w:t>
            </w:r>
          </w:p>
        </w:tc>
        <w:tc>
          <w:tcPr>
            <w:tcW w:type="dxa" w:w="2160"/>
            <w:tcMar>
              <w:top w:w="80" w:type="dxa"/>
              <w:start w:w="120" w:type="dxa"/>
              <w:bottom w:w="80" w:type="dxa"/>
              <w:end w:w="120" w:type="dxa"/>
            </w:tcMar>
            <w:vAlign w:val="center"/>
          </w:tcPr>
          <w:p>
            <w:r>
              <w:t>结构化输入特征</w:t>
            </w:r>
          </w:p>
        </w:tc>
      </w:tr>
      <w:tr>
        <w:tc>
          <w:tcPr>
            <w:tcW w:type="dxa" w:w="1728"/>
            <w:tcMar>
              <w:top w:w="80" w:type="dxa"/>
              <w:start w:w="120" w:type="dxa"/>
              <w:bottom w:w="80" w:type="dxa"/>
              <w:end w:w="120" w:type="dxa"/>
            </w:tcMar>
            <w:vAlign w:val="center"/>
          </w:tcPr>
          <w:p>
            <w:r>
              <w:t>ABC事实剥离</w:t>
            </w:r>
          </w:p>
        </w:tc>
        <w:tc>
          <w:tcPr>
            <w:tcW w:type="dxa" w:w="2016"/>
            <w:tcMar>
              <w:top w:w="80" w:type="dxa"/>
              <w:start w:w="120" w:type="dxa"/>
              <w:bottom w:w="80" w:type="dxa"/>
              <w:end w:w="120" w:type="dxa"/>
            </w:tcMar>
            <w:vAlign w:val="center"/>
          </w:tcPr>
          <w:p>
            <w:r>
              <w:t>结构化输入特征</w:t>
            </w:r>
          </w:p>
        </w:tc>
        <w:tc>
          <w:tcPr>
            <w:tcW w:type="dxa" w:w="3168"/>
            <w:tcMar>
              <w:top w:w="80" w:type="dxa"/>
              <w:start w:w="120" w:type="dxa"/>
              <w:bottom w:w="80" w:type="dxa"/>
              <w:end w:w="120" w:type="dxa"/>
            </w:tcMar>
            <w:vAlign w:val="center"/>
          </w:tcPr>
          <w:p>
            <w:r>
              <w:t>按监控摄像头标准区分 A/B/C。</w:t>
            </w:r>
          </w:p>
        </w:tc>
        <w:tc>
          <w:tcPr>
            <w:tcW w:type="dxa" w:w="2160"/>
            <w:tcMar>
              <w:top w:w="80" w:type="dxa"/>
              <w:start w:w="120" w:type="dxa"/>
              <w:bottom w:w="80" w:type="dxa"/>
              <w:end w:w="120" w:type="dxa"/>
            </w:tcMar>
            <w:vAlign w:val="center"/>
          </w:tcPr>
          <w:p>
            <w:r>
              <w:t>事实、信念、情绪行为</w:t>
            </w:r>
          </w:p>
        </w:tc>
      </w:tr>
      <w:tr>
        <w:tc>
          <w:tcPr>
            <w:tcW w:type="dxa" w:w="1728"/>
            <w:tcMar>
              <w:top w:w="80" w:type="dxa"/>
              <w:start w:w="120" w:type="dxa"/>
              <w:bottom w:w="80" w:type="dxa"/>
              <w:end w:w="120" w:type="dxa"/>
            </w:tcMar>
            <w:vAlign w:val="center"/>
          </w:tcPr>
          <w:p>
            <w:r>
              <w:t>风险路由</w:t>
            </w:r>
          </w:p>
        </w:tc>
        <w:tc>
          <w:tcPr>
            <w:tcW w:type="dxa" w:w="2016"/>
            <w:tcMar>
              <w:top w:w="80" w:type="dxa"/>
              <w:start w:w="120" w:type="dxa"/>
              <w:bottom w:w="80" w:type="dxa"/>
              <w:end w:w="120" w:type="dxa"/>
            </w:tcMar>
            <w:vAlign w:val="center"/>
          </w:tcPr>
          <w:p>
            <w:r>
              <w:t>情绪强度与风险信号</w:t>
            </w:r>
          </w:p>
        </w:tc>
        <w:tc>
          <w:tcPr>
            <w:tcW w:type="dxa" w:w="3168"/>
            <w:tcMar>
              <w:top w:w="80" w:type="dxa"/>
              <w:start w:w="120" w:type="dxa"/>
              <w:bottom w:w="80" w:type="dxa"/>
              <w:end w:w="120" w:type="dxa"/>
            </w:tcMar>
            <w:vAlign w:val="center"/>
          </w:tcPr>
          <w:p>
            <w:r>
              <w:t>判断 normal/elevated/crisis。</w:t>
            </w:r>
          </w:p>
        </w:tc>
        <w:tc>
          <w:tcPr>
            <w:tcW w:type="dxa" w:w="2160"/>
            <w:tcMar>
              <w:top w:w="80" w:type="dxa"/>
              <w:start w:w="120" w:type="dxa"/>
              <w:bottom w:w="80" w:type="dxa"/>
              <w:end w:w="120" w:type="dxa"/>
            </w:tcMar>
            <w:vAlign w:val="center"/>
          </w:tcPr>
          <w:p>
            <w:r>
              <w:t>回应模式与召回优先级</w:t>
            </w:r>
          </w:p>
        </w:tc>
      </w:tr>
      <w:tr>
        <w:tc>
          <w:tcPr>
            <w:tcW w:type="dxa" w:w="1728"/>
            <w:tcMar>
              <w:top w:w="80" w:type="dxa"/>
              <w:start w:w="120" w:type="dxa"/>
              <w:bottom w:w="80" w:type="dxa"/>
              <w:end w:w="120" w:type="dxa"/>
            </w:tcMar>
            <w:vAlign w:val="center"/>
          </w:tcPr>
          <w:p>
            <w:r>
              <w:t>RAG检索</w:t>
            </w:r>
          </w:p>
        </w:tc>
        <w:tc>
          <w:tcPr>
            <w:tcW w:type="dxa" w:w="2016"/>
            <w:tcMar>
              <w:top w:w="80" w:type="dxa"/>
              <w:start w:w="120" w:type="dxa"/>
              <w:bottom w:w="80" w:type="dxa"/>
              <w:end w:w="120" w:type="dxa"/>
            </w:tcMar>
            <w:vAlign w:val="center"/>
          </w:tcPr>
          <w:p>
            <w:r>
              <w:t>场景、技术、风险等级</w:t>
            </w:r>
          </w:p>
        </w:tc>
        <w:tc>
          <w:tcPr>
            <w:tcW w:type="dxa" w:w="3168"/>
            <w:tcMar>
              <w:top w:w="80" w:type="dxa"/>
              <w:start w:w="120" w:type="dxa"/>
              <w:bottom w:w="80" w:type="dxa"/>
              <w:end w:w="120" w:type="dxa"/>
            </w:tcMar>
            <w:vAlign w:val="center"/>
          </w:tcPr>
          <w:p>
            <w:r>
              <w:t>按证据层级召回指南、政策、CBT理论。</w:t>
            </w:r>
          </w:p>
        </w:tc>
        <w:tc>
          <w:tcPr>
            <w:tcW w:type="dxa" w:w="2160"/>
            <w:tcMar>
              <w:top w:w="80" w:type="dxa"/>
              <w:start w:w="120" w:type="dxa"/>
              <w:bottom w:w="80" w:type="dxa"/>
              <w:end w:w="120" w:type="dxa"/>
            </w:tcMar>
            <w:vAlign w:val="center"/>
          </w:tcPr>
          <w:p>
            <w:r>
              <w:t>可追溯知识片段</w:t>
            </w:r>
          </w:p>
        </w:tc>
      </w:tr>
      <w:tr>
        <w:tc>
          <w:tcPr>
            <w:tcW w:type="dxa" w:w="1728"/>
            <w:tcMar>
              <w:top w:w="80" w:type="dxa"/>
              <w:start w:w="120" w:type="dxa"/>
              <w:bottom w:w="80" w:type="dxa"/>
              <w:end w:w="120" w:type="dxa"/>
            </w:tcMar>
            <w:vAlign w:val="center"/>
          </w:tcPr>
          <w:p>
            <w:r>
              <w:t>回应生成</w:t>
            </w:r>
          </w:p>
        </w:tc>
        <w:tc>
          <w:tcPr>
            <w:tcW w:type="dxa" w:w="2016"/>
            <w:tcMar>
              <w:top w:w="80" w:type="dxa"/>
              <w:start w:w="120" w:type="dxa"/>
              <w:bottom w:w="80" w:type="dxa"/>
              <w:end w:w="120" w:type="dxa"/>
            </w:tcMar>
            <w:vAlign w:val="center"/>
          </w:tcPr>
          <w:p>
            <w:r>
              <w:t>ABC结果与知识片段</w:t>
            </w:r>
          </w:p>
        </w:tc>
        <w:tc>
          <w:tcPr>
            <w:tcW w:type="dxa" w:w="3168"/>
            <w:tcMar>
              <w:top w:w="80" w:type="dxa"/>
              <w:start w:w="120" w:type="dxa"/>
              <w:bottom w:w="80" w:type="dxa"/>
              <w:end w:w="120" w:type="dxa"/>
            </w:tcMar>
            <w:vAlign w:val="center"/>
          </w:tcPr>
          <w:p>
            <w:r>
              <w:t>共情、重评、小行动或现实求助。</w:t>
            </w:r>
          </w:p>
        </w:tc>
        <w:tc>
          <w:tcPr>
            <w:tcW w:type="dxa" w:w="2160"/>
            <w:tcMar>
              <w:top w:w="80" w:type="dxa"/>
              <w:start w:w="120" w:type="dxa"/>
              <w:bottom w:w="80" w:type="dxa"/>
              <w:end w:w="120" w:type="dxa"/>
            </w:tcMar>
            <w:vAlign w:val="center"/>
          </w:tcPr>
          <w:p>
            <w:r>
              <w:t>最终支持回应</w:t>
            </w:r>
          </w:p>
        </w:tc>
      </w:tr>
      <w:tr>
        <w:tc>
          <w:tcPr>
            <w:tcW w:type="dxa" w:w="1728"/>
            <w:tcMar>
              <w:top w:w="80" w:type="dxa"/>
              <w:start w:w="120" w:type="dxa"/>
              <w:bottom w:w="80" w:type="dxa"/>
              <w:end w:w="120" w:type="dxa"/>
            </w:tcMar>
            <w:vAlign w:val="center"/>
          </w:tcPr>
          <w:p>
            <w:r>
              <w:t>输出校验</w:t>
            </w:r>
          </w:p>
        </w:tc>
        <w:tc>
          <w:tcPr>
            <w:tcW w:type="dxa" w:w="2016"/>
            <w:tcMar>
              <w:top w:w="80" w:type="dxa"/>
              <w:start w:w="120" w:type="dxa"/>
              <w:bottom w:w="80" w:type="dxa"/>
              <w:end w:w="120" w:type="dxa"/>
            </w:tcMar>
            <w:vAlign w:val="center"/>
          </w:tcPr>
          <w:p>
            <w:r>
              <w:t>草稿回应</w:t>
            </w:r>
          </w:p>
        </w:tc>
        <w:tc>
          <w:tcPr>
            <w:tcW w:type="dxa" w:w="3168"/>
            <w:tcMar>
              <w:top w:w="80" w:type="dxa"/>
              <w:start w:w="120" w:type="dxa"/>
              <w:bottom w:w="80" w:type="dxa"/>
              <w:end w:w="120" w:type="dxa"/>
            </w:tcMar>
            <w:vAlign w:val="center"/>
          </w:tcPr>
          <w:p>
            <w:r>
              <w:t>检查诊断化、过度承诺、伤害信息。</w:t>
            </w:r>
          </w:p>
        </w:tc>
        <w:tc>
          <w:tcPr>
            <w:tcW w:type="dxa" w:w="2160"/>
            <w:tcMar>
              <w:top w:w="80" w:type="dxa"/>
              <w:start w:w="120" w:type="dxa"/>
              <w:bottom w:w="80" w:type="dxa"/>
              <w:end w:w="120" w:type="dxa"/>
            </w:tcMar>
            <w:vAlign w:val="center"/>
          </w:tcPr>
          <w:p>
            <w:r>
              <w:t>合规回应</w:t>
            </w:r>
          </w:p>
        </w:tc>
      </w:tr>
    </w:tbl>
    <w:p/>
    <w:p>
      <w:pPr>
        <w:pStyle w:val="Heading2"/>
      </w:pPr>
      <w:r>
        <w:t>3.2 自然语言处理与事实剥离</w:t>
      </w:r>
    </w:p>
    <w:p>
      <w:r>
        <w:t>事实剥离模块的动机来自开放反馈中“希望不要再只是安慰我，合理去分析我的问题”的要求。用户需要的不是被简单劝好，而是有人帮助他看清“发生了什么”和“自己如何解释它”。系统对用户输入进行文本扫描，重点识别情绪化形容词、自我评价、他人心理推断、未来负面预测和绝对化表达。随后系统使用“监控摄像头标准”判断某一句话能否进入 A 诱发事件：如果摄像头、录音或第三方旁观者不能直接确认，该内容就不能作为事实，而应被归入 B 信念解释或 C 情绪行为。</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E8EEF5"/>
            <w:tcMar>
              <w:top w:w="80" w:type="dxa"/>
              <w:start w:w="120" w:type="dxa"/>
              <w:bottom w:w="80" w:type="dxa"/>
              <w:end w:w="120" w:type="dxa"/>
            </w:tcMar>
            <w:vAlign w:val="center"/>
          </w:tcPr>
          <w:p>
            <w:r>
              <w:rPr>
                <w:rFonts w:ascii="Calibri" w:hAnsi="Calibri" w:eastAsia="黑体"/>
                <w:b/>
              </w:rPr>
              <w:t>ABC要素</w:t>
            </w:r>
          </w:p>
        </w:tc>
        <w:tc>
          <w:tcPr>
            <w:tcW w:type="dxa" w:w="3744"/>
            <w:shd w:fill="E8EEF5"/>
            <w:tcMar>
              <w:top w:w="80" w:type="dxa"/>
              <w:start w:w="120" w:type="dxa"/>
              <w:bottom w:w="80" w:type="dxa"/>
              <w:end w:w="120" w:type="dxa"/>
            </w:tcMar>
            <w:vAlign w:val="center"/>
          </w:tcPr>
          <w:p>
            <w:r>
              <w:rPr>
                <w:rFonts w:ascii="Calibri" w:hAnsi="Calibri" w:eastAsia="黑体"/>
                <w:b/>
              </w:rPr>
              <w:t>定义</w:t>
            </w:r>
          </w:p>
        </w:tc>
        <w:tc>
          <w:tcPr>
            <w:tcW w:type="dxa" w:w="3168"/>
            <w:shd w:fill="E8EEF5"/>
            <w:tcMar>
              <w:top w:w="80" w:type="dxa"/>
              <w:start w:w="120" w:type="dxa"/>
              <w:bottom w:w="80" w:type="dxa"/>
              <w:end w:w="120" w:type="dxa"/>
            </w:tcMar>
            <w:vAlign w:val="center"/>
          </w:tcPr>
          <w:p>
            <w:r>
              <w:rPr>
                <w:rFonts w:ascii="Calibri" w:hAnsi="Calibri" w:eastAsia="黑体"/>
                <w:b/>
              </w:rPr>
              <w:t>示例</w:t>
            </w:r>
          </w:p>
        </w:tc>
      </w:tr>
      <w:tr>
        <w:tc>
          <w:tcPr>
            <w:tcW w:type="dxa" w:w="2016"/>
            <w:tcMar>
              <w:top w:w="80" w:type="dxa"/>
              <w:start w:w="120" w:type="dxa"/>
              <w:bottom w:w="80" w:type="dxa"/>
              <w:end w:w="120" w:type="dxa"/>
            </w:tcMar>
            <w:vAlign w:val="center"/>
          </w:tcPr>
          <w:p>
            <w:r>
              <w:t>A 诱发事件</w:t>
            </w:r>
          </w:p>
        </w:tc>
        <w:tc>
          <w:tcPr>
            <w:tcW w:type="dxa" w:w="3744"/>
            <w:tcMar>
              <w:top w:w="80" w:type="dxa"/>
              <w:start w:w="120" w:type="dxa"/>
              <w:bottom w:w="80" w:type="dxa"/>
              <w:end w:w="120" w:type="dxa"/>
            </w:tcMar>
            <w:vAlign w:val="center"/>
          </w:tcPr>
          <w:p>
            <w:r>
              <w:t>可观察、可记录、可复核的事实</w:t>
            </w:r>
          </w:p>
        </w:tc>
        <w:tc>
          <w:tcPr>
            <w:tcW w:type="dxa" w:w="3168"/>
            <w:tcMar>
              <w:top w:w="80" w:type="dxa"/>
              <w:start w:w="120" w:type="dxa"/>
              <w:bottom w:w="80" w:type="dxa"/>
              <w:end w:w="120" w:type="dxa"/>
            </w:tcMar>
            <w:vAlign w:val="center"/>
          </w:tcPr>
          <w:p>
            <w:r>
              <w:t>周五英语听写错了6个单词</w:t>
            </w:r>
          </w:p>
        </w:tc>
      </w:tr>
      <w:tr>
        <w:tc>
          <w:tcPr>
            <w:tcW w:type="dxa" w:w="2016"/>
            <w:tcMar>
              <w:top w:w="80" w:type="dxa"/>
              <w:start w:w="120" w:type="dxa"/>
              <w:bottom w:w="80" w:type="dxa"/>
              <w:end w:w="120" w:type="dxa"/>
            </w:tcMar>
            <w:vAlign w:val="center"/>
          </w:tcPr>
          <w:p>
            <w:r>
              <w:t>B 信念解释</w:t>
            </w:r>
          </w:p>
        </w:tc>
        <w:tc>
          <w:tcPr>
            <w:tcW w:type="dxa" w:w="3744"/>
            <w:tcMar>
              <w:top w:w="80" w:type="dxa"/>
              <w:start w:w="120" w:type="dxa"/>
              <w:bottom w:w="80" w:type="dxa"/>
              <w:end w:w="120" w:type="dxa"/>
            </w:tcMar>
            <w:vAlign w:val="center"/>
          </w:tcPr>
          <w:p>
            <w:r>
              <w:t>对事实的评价、推测、意义建构</w:t>
            </w:r>
          </w:p>
        </w:tc>
        <w:tc>
          <w:tcPr>
            <w:tcW w:type="dxa" w:w="3168"/>
            <w:tcMar>
              <w:top w:w="80" w:type="dxa"/>
              <w:start w:w="120" w:type="dxa"/>
              <w:bottom w:w="80" w:type="dxa"/>
              <w:end w:w="120" w:type="dxa"/>
            </w:tcMar>
            <w:vAlign w:val="center"/>
          </w:tcPr>
          <w:p>
            <w:r>
              <w:t>我彻底不行了</w:t>
            </w:r>
          </w:p>
        </w:tc>
      </w:tr>
      <w:tr>
        <w:tc>
          <w:tcPr>
            <w:tcW w:type="dxa" w:w="2016"/>
            <w:tcMar>
              <w:top w:w="80" w:type="dxa"/>
              <w:start w:w="120" w:type="dxa"/>
              <w:bottom w:w="80" w:type="dxa"/>
              <w:end w:w="120" w:type="dxa"/>
            </w:tcMar>
            <w:vAlign w:val="center"/>
          </w:tcPr>
          <w:p>
            <w:r>
              <w:t>C 情绪行为</w:t>
            </w:r>
          </w:p>
        </w:tc>
        <w:tc>
          <w:tcPr>
            <w:tcW w:type="dxa" w:w="3744"/>
            <w:tcMar>
              <w:top w:w="80" w:type="dxa"/>
              <w:start w:w="120" w:type="dxa"/>
              <w:bottom w:w="80" w:type="dxa"/>
              <w:end w:w="120" w:type="dxa"/>
            </w:tcMar>
            <w:vAlign w:val="center"/>
          </w:tcPr>
          <w:p>
            <w:r>
              <w:t>由解释引发的情绪、身体反应和行为倾向</w:t>
            </w:r>
          </w:p>
        </w:tc>
        <w:tc>
          <w:tcPr>
            <w:tcW w:type="dxa" w:w="3168"/>
            <w:tcMar>
              <w:top w:w="80" w:type="dxa"/>
              <w:start w:w="120" w:type="dxa"/>
              <w:bottom w:w="80" w:type="dxa"/>
              <w:end w:w="120" w:type="dxa"/>
            </w:tcMar>
            <w:vAlign w:val="center"/>
          </w:tcPr>
          <w:p>
            <w:r>
              <w:t>焦虑、羞愧、拖延背词</w:t>
            </w:r>
          </w:p>
        </w:tc>
      </w:tr>
    </w:tbl>
    <w:p/>
    <w:p>
      <w:r>
        <w:t>在青少年语境中，事实剥离的难点在于许多句子表面上像事实，实际包含评价或推测。例如“老师故意针对我”并不是可观察事实，而是对教师动机的解释；“我完了”也不是事实，而是未来灾难化预测。系统处理这类输入时，不会直接反驳用户，而是先承认情绪，再把句子拆成“可确认发生了什么”“我脑中怎么解释它”“这种解释带来什么情绪和行为”三个层次。这种处理方式既避免否定用户感受，也降低情绪化推断继续放大的风险。</w:t>
      </w:r>
    </w:p>
    <w:p>
      <w:pPr>
        <w:pStyle w:val="Heading2"/>
      </w:pPr>
      <w:r>
        <w:t>3.3 情感计算与安全路由</w:t>
      </w:r>
    </w:p>
    <w:p>
      <w:r>
        <w:t>情感计算和安全路由模块的动机来自两类风险：一是问卷中“高度隐私”“深夜 emo”“社交疲惫”等场景占比较高，说明用户可能在现实支持较弱或不愿求助熟人的状态下打开系统；二是心理支持对象为未成年人，必须避免把危机当作普通情绪。情感计算模块不用于诊断，而用于判断回应强度。普通情绪压力进入共情、事实剥离和小行动建议；强烈无助、持续失眠或明显功能受损等升高风险场景进入风险澄清和现实支持建议；当出现自伤、自杀、伤人、虐待、性侵、严重欺凌、物质中毒等危机信号时，系统停止普通 CBT，优先进行安全处置。</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figure06_risk_route.png"/>
                    <pic:cNvPicPr/>
                  </pic:nvPicPr>
                  <pic:blipFill>
                    <a:blip r:embed="rId10"/>
                    <a:stretch>
                      <a:fillRect/>
                    </a:stretch>
                  </pic:blipFill>
                  <pic:spPr>
                    <a:xfrm>
                      <a:off x="0" y="0"/>
                      <a:ext cx="5760720" cy="3240405"/>
                    </a:xfrm>
                    <a:prstGeom prst="rect"/>
                  </pic:spPr>
                </pic:pic>
              </a:graphicData>
            </a:graphic>
          </wp:inline>
        </w:drawing>
      </w:r>
    </w:p>
    <w:p>
      <w:pPr>
        <w:jc w:val="center"/>
      </w:pPr>
      <w:r>
        <w:rPr>
          <w:i/>
          <w:color w:val="555555"/>
          <w:sz w:val="18"/>
        </w:rPr>
        <w:t>Figure 2. 风险分流与危机熔断路径。</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E8EEF5"/>
            <w:tcMar>
              <w:top w:w="80" w:type="dxa"/>
              <w:start w:w="120" w:type="dxa"/>
              <w:bottom w:w="80" w:type="dxa"/>
              <w:end w:w="120" w:type="dxa"/>
            </w:tcMar>
            <w:vAlign w:val="center"/>
          </w:tcPr>
          <w:p>
            <w:r>
              <w:rPr>
                <w:rFonts w:ascii="Calibri" w:hAnsi="Calibri" w:eastAsia="黑体"/>
                <w:b/>
              </w:rPr>
              <w:t>风险等级</w:t>
            </w:r>
          </w:p>
        </w:tc>
        <w:tc>
          <w:tcPr>
            <w:tcW w:type="dxa" w:w="3888"/>
            <w:shd w:fill="E8EEF5"/>
            <w:tcMar>
              <w:top w:w="80" w:type="dxa"/>
              <w:start w:w="120" w:type="dxa"/>
              <w:bottom w:w="80" w:type="dxa"/>
              <w:end w:w="120" w:type="dxa"/>
            </w:tcMar>
            <w:vAlign w:val="center"/>
          </w:tcPr>
          <w:p>
            <w:r>
              <w:rPr>
                <w:rFonts w:ascii="Calibri" w:hAnsi="Calibri" w:eastAsia="黑体"/>
                <w:b/>
              </w:rPr>
              <w:t>输入特征</w:t>
            </w:r>
          </w:p>
        </w:tc>
        <w:tc>
          <w:tcPr>
            <w:tcW w:type="dxa" w:w="3168"/>
            <w:shd w:fill="E8EEF5"/>
            <w:tcMar>
              <w:top w:w="80" w:type="dxa"/>
              <w:start w:w="120" w:type="dxa"/>
              <w:bottom w:w="80" w:type="dxa"/>
              <w:end w:w="120" w:type="dxa"/>
            </w:tcMar>
            <w:vAlign w:val="center"/>
          </w:tcPr>
          <w:p>
            <w:r>
              <w:rPr>
                <w:rFonts w:ascii="Calibri" w:hAnsi="Calibri" w:eastAsia="黑体"/>
                <w:b/>
              </w:rPr>
              <w:t>回应重点</w:t>
            </w:r>
          </w:p>
        </w:tc>
      </w:tr>
      <w:tr>
        <w:tc>
          <w:tcPr>
            <w:tcW w:type="dxa" w:w="1872"/>
            <w:tcMar>
              <w:top w:w="80" w:type="dxa"/>
              <w:start w:w="120" w:type="dxa"/>
              <w:bottom w:w="80" w:type="dxa"/>
              <w:end w:w="120" w:type="dxa"/>
            </w:tcMar>
            <w:vAlign w:val="center"/>
          </w:tcPr>
          <w:p>
            <w:r>
              <w:t>普通支持</w:t>
            </w:r>
          </w:p>
        </w:tc>
        <w:tc>
          <w:tcPr>
            <w:tcW w:type="dxa" w:w="3888"/>
            <w:tcMar>
              <w:top w:w="80" w:type="dxa"/>
              <w:start w:w="120" w:type="dxa"/>
              <w:bottom w:w="80" w:type="dxa"/>
              <w:end w:w="120" w:type="dxa"/>
            </w:tcMar>
            <w:vAlign w:val="center"/>
          </w:tcPr>
          <w:p>
            <w:r>
              <w:t>学业、人际、自我评价压力，无危机词</w:t>
            </w:r>
          </w:p>
        </w:tc>
        <w:tc>
          <w:tcPr>
            <w:tcW w:type="dxa" w:w="3168"/>
            <w:tcMar>
              <w:top w:w="80" w:type="dxa"/>
              <w:start w:w="120" w:type="dxa"/>
              <w:bottom w:w="80" w:type="dxa"/>
              <w:end w:w="120" w:type="dxa"/>
            </w:tcMar>
            <w:vAlign w:val="center"/>
          </w:tcPr>
          <w:p>
            <w:r>
              <w:t>共情、事实剥离、小行动</w:t>
            </w:r>
          </w:p>
        </w:tc>
      </w:tr>
      <w:tr>
        <w:tc>
          <w:tcPr>
            <w:tcW w:type="dxa" w:w="1872"/>
            <w:tcMar>
              <w:top w:w="80" w:type="dxa"/>
              <w:start w:w="120" w:type="dxa"/>
              <w:bottom w:w="80" w:type="dxa"/>
              <w:end w:w="120" w:type="dxa"/>
            </w:tcMar>
            <w:vAlign w:val="center"/>
          </w:tcPr>
          <w:p>
            <w:r>
              <w:t>升高风险</w:t>
            </w:r>
          </w:p>
        </w:tc>
        <w:tc>
          <w:tcPr>
            <w:tcW w:type="dxa" w:w="3888"/>
            <w:tcMar>
              <w:top w:w="80" w:type="dxa"/>
              <w:start w:w="120" w:type="dxa"/>
              <w:bottom w:w="80" w:type="dxa"/>
              <w:end w:w="120" w:type="dxa"/>
            </w:tcMar>
            <w:vAlign w:val="center"/>
          </w:tcPr>
          <w:p>
            <w:r>
              <w:t>强烈无助、功能受损、持续困扰</w:t>
            </w:r>
          </w:p>
        </w:tc>
        <w:tc>
          <w:tcPr>
            <w:tcW w:type="dxa" w:w="3168"/>
            <w:tcMar>
              <w:top w:w="80" w:type="dxa"/>
              <w:start w:w="120" w:type="dxa"/>
              <w:bottom w:w="80" w:type="dxa"/>
              <w:end w:w="120" w:type="dxa"/>
            </w:tcMar>
            <w:vAlign w:val="center"/>
          </w:tcPr>
          <w:p>
            <w:r>
              <w:t>风险澄清、现实支持、必要转介</w:t>
            </w:r>
          </w:p>
        </w:tc>
      </w:tr>
      <w:tr>
        <w:tc>
          <w:tcPr>
            <w:tcW w:type="dxa" w:w="1872"/>
            <w:tcMar>
              <w:top w:w="80" w:type="dxa"/>
              <w:start w:w="120" w:type="dxa"/>
              <w:bottom w:w="80" w:type="dxa"/>
              <w:end w:w="120" w:type="dxa"/>
            </w:tcMar>
            <w:vAlign w:val="center"/>
          </w:tcPr>
          <w:p>
            <w:r>
              <w:t>危机风险</w:t>
            </w:r>
          </w:p>
        </w:tc>
        <w:tc>
          <w:tcPr>
            <w:tcW w:type="dxa" w:w="3888"/>
            <w:tcMar>
              <w:top w:w="80" w:type="dxa"/>
              <w:start w:w="120" w:type="dxa"/>
              <w:bottom w:w="80" w:type="dxa"/>
              <w:end w:w="120" w:type="dxa"/>
            </w:tcMar>
            <w:vAlign w:val="center"/>
          </w:tcPr>
          <w:p>
            <w:r>
              <w:t>自伤自杀、伤人、侵害、严重欺凌</w:t>
            </w:r>
          </w:p>
        </w:tc>
        <w:tc>
          <w:tcPr>
            <w:tcW w:type="dxa" w:w="3168"/>
            <w:tcMar>
              <w:top w:w="80" w:type="dxa"/>
              <w:start w:w="120" w:type="dxa"/>
              <w:bottom w:w="80" w:type="dxa"/>
              <w:end w:w="120" w:type="dxa"/>
            </w:tcMar>
            <w:vAlign w:val="center"/>
          </w:tcPr>
          <w:p>
            <w:r>
              <w:t>联系可信成年人、专业人员或紧急资源</w:t>
            </w:r>
          </w:p>
        </w:tc>
      </w:tr>
    </w:tbl>
    <w:p/>
    <w:p>
      <w:pPr>
        <w:pStyle w:val="Heading2"/>
      </w:pPr>
      <w:r>
        <w:t>3.4 RAG 知识库与来源治理</w:t>
      </w:r>
    </w:p>
    <w:p>
      <w:r>
        <w:t>RAG 知识库模块的动机来自开放反馈中对“更专业一点的评估”的期待，也来自心理类应用的专业风险。系统需要专业依据，但又不能把 AI 包装成医生；需要给出支持建议，但不能制造无法核验的权威感。为避免心理类 AI 常见的“来源不清”和“伪造案例”问题，项目将知识库拆分为权威指南、政策文件、CBT 理论和合成示例四类。权威指南用于风险分层、转介边界和安全处置；CBT 理论用于事实剥离和认知重评；合成示例只用于话术格式演示，并明确标注 synthetic=true 与 case_status=fictional_cross_checked。</w:t>
      </w:r>
    </w:p>
    <w:tbl>
      <w:tblPr>
        <w:tblStyle w:val="TableGrid"/>
        <w:tblW w:type="auto" w:w="0"/>
        <w:jc w:val="center"/>
        <w:tblLook w:firstColumn="1" w:firstRow="1" w:lastColumn="0" w:lastRow="0" w:noHBand="0" w:noVBand="1" w:val="04A0"/>
      </w:tblPr>
      <w:tblGrid>
        <w:gridCol w:w="3120"/>
        <w:gridCol w:w="3120"/>
        <w:gridCol w:w="3120"/>
      </w:tblGrid>
      <w:tr>
        <w:tc>
          <w:tcPr>
            <w:tcW w:type="dxa" w:w="3888"/>
            <w:shd w:fill="E8EEF5"/>
            <w:tcMar>
              <w:top w:w="80" w:type="dxa"/>
              <w:start w:w="120" w:type="dxa"/>
              <w:bottom w:w="80" w:type="dxa"/>
              <w:end w:w="120" w:type="dxa"/>
            </w:tcMar>
            <w:vAlign w:val="center"/>
          </w:tcPr>
          <w:p>
            <w:r>
              <w:rPr>
                <w:rFonts w:ascii="Calibri" w:hAnsi="Calibri" w:eastAsia="黑体"/>
                <w:b/>
              </w:rPr>
              <w:t>文件</w:t>
            </w:r>
          </w:p>
        </w:tc>
        <w:tc>
          <w:tcPr>
            <w:tcW w:type="dxa" w:w="1152"/>
            <w:shd w:fill="E8EEF5"/>
            <w:tcMar>
              <w:top w:w="80" w:type="dxa"/>
              <w:start w:w="120" w:type="dxa"/>
              <w:bottom w:w="80" w:type="dxa"/>
              <w:end w:w="120" w:type="dxa"/>
            </w:tcMar>
            <w:vAlign w:val="center"/>
          </w:tcPr>
          <w:p>
            <w:r>
              <w:rPr>
                <w:rFonts w:ascii="Calibri" w:hAnsi="Calibri" w:eastAsia="黑体"/>
                <w:b/>
              </w:rPr>
              <w:t>行数</w:t>
            </w:r>
          </w:p>
        </w:tc>
        <w:tc>
          <w:tcPr>
            <w:tcW w:type="dxa" w:w="3888"/>
            <w:shd w:fill="E8EEF5"/>
            <w:tcMar>
              <w:top w:w="80" w:type="dxa"/>
              <w:start w:w="120" w:type="dxa"/>
              <w:bottom w:w="80" w:type="dxa"/>
              <w:end w:w="120" w:type="dxa"/>
            </w:tcMar>
            <w:vAlign w:val="center"/>
          </w:tcPr>
          <w:p>
            <w:r>
              <w:rPr>
                <w:rFonts w:ascii="Calibri" w:hAnsi="Calibri" w:eastAsia="黑体"/>
                <w:b/>
              </w:rPr>
              <w:t>主要用途</w:t>
            </w:r>
          </w:p>
        </w:tc>
      </w:tr>
      <w:tr>
        <w:tc>
          <w:tcPr>
            <w:tcW w:type="dxa" w:w="3888"/>
            <w:tcMar>
              <w:top w:w="80" w:type="dxa"/>
              <w:start w:w="120" w:type="dxa"/>
              <w:bottom w:w="80" w:type="dxa"/>
              <w:end w:w="120" w:type="dxa"/>
            </w:tcMar>
            <w:vAlign w:val="center"/>
          </w:tcPr>
          <w:p>
            <w:r>
              <w:t>clinical_authoritative_chunks.jsonl</w:t>
            </w:r>
          </w:p>
        </w:tc>
        <w:tc>
          <w:tcPr>
            <w:tcW w:type="dxa" w:w="1152"/>
            <w:tcMar>
              <w:top w:w="80" w:type="dxa"/>
              <w:start w:w="120" w:type="dxa"/>
              <w:bottom w:w="80" w:type="dxa"/>
              <w:end w:w="120" w:type="dxa"/>
            </w:tcMar>
            <w:vAlign w:val="center"/>
          </w:tcPr>
          <w:p>
            <w:r>
              <w:t>28</w:t>
            </w:r>
          </w:p>
        </w:tc>
        <w:tc>
          <w:tcPr>
            <w:tcW w:type="dxa" w:w="3888"/>
            <w:tcMar>
              <w:top w:w="80" w:type="dxa"/>
              <w:start w:w="120" w:type="dxa"/>
              <w:bottom w:w="80" w:type="dxa"/>
              <w:end w:w="120" w:type="dxa"/>
            </w:tcMar>
            <w:vAlign w:val="center"/>
          </w:tcPr>
          <w:p>
            <w:r>
              <w:t>权威指南与安全边界</w:t>
            </w:r>
          </w:p>
        </w:tc>
      </w:tr>
      <w:tr>
        <w:tc>
          <w:tcPr>
            <w:tcW w:type="dxa" w:w="3888"/>
            <w:tcMar>
              <w:top w:w="80" w:type="dxa"/>
              <w:start w:w="120" w:type="dxa"/>
              <w:bottom w:w="80" w:type="dxa"/>
              <w:end w:w="120" w:type="dxa"/>
            </w:tcMar>
            <w:vAlign w:val="center"/>
          </w:tcPr>
          <w:p>
            <w:r>
              <w:t>clinical_professional_theory_chunks.jsonl</w:t>
            </w:r>
          </w:p>
        </w:tc>
        <w:tc>
          <w:tcPr>
            <w:tcW w:type="dxa" w:w="1152"/>
            <w:tcMar>
              <w:top w:w="80" w:type="dxa"/>
              <w:start w:w="120" w:type="dxa"/>
              <w:bottom w:w="80" w:type="dxa"/>
              <w:end w:w="120" w:type="dxa"/>
            </w:tcMar>
            <w:vAlign w:val="center"/>
          </w:tcPr>
          <w:p>
            <w:r>
              <w:t>40</w:t>
            </w:r>
          </w:p>
        </w:tc>
        <w:tc>
          <w:tcPr>
            <w:tcW w:type="dxa" w:w="3888"/>
            <w:tcMar>
              <w:top w:w="80" w:type="dxa"/>
              <w:start w:w="120" w:type="dxa"/>
              <w:bottom w:w="80" w:type="dxa"/>
              <w:end w:w="120" w:type="dxa"/>
            </w:tcMar>
            <w:vAlign w:val="center"/>
          </w:tcPr>
          <w:p>
            <w:r>
              <w:t>专业心理理论支撑</w:t>
            </w:r>
          </w:p>
        </w:tc>
      </w:tr>
      <w:tr>
        <w:tc>
          <w:tcPr>
            <w:tcW w:type="dxa" w:w="3888"/>
            <w:tcMar>
              <w:top w:w="80" w:type="dxa"/>
              <w:start w:w="120" w:type="dxa"/>
              <w:bottom w:w="80" w:type="dxa"/>
              <w:end w:w="120" w:type="dxa"/>
            </w:tcMar>
            <w:vAlign w:val="center"/>
          </w:tcPr>
          <w:p>
            <w:r>
              <w:t>synthetic_case_chunks.jsonl</w:t>
            </w:r>
          </w:p>
        </w:tc>
        <w:tc>
          <w:tcPr>
            <w:tcW w:type="dxa" w:w="1152"/>
            <w:tcMar>
              <w:top w:w="80" w:type="dxa"/>
              <w:start w:w="120" w:type="dxa"/>
              <w:bottom w:w="80" w:type="dxa"/>
              <w:end w:w="120" w:type="dxa"/>
            </w:tcMar>
            <w:vAlign w:val="center"/>
          </w:tcPr>
          <w:p>
            <w:r>
              <w:t>120</w:t>
            </w:r>
          </w:p>
        </w:tc>
        <w:tc>
          <w:tcPr>
            <w:tcW w:type="dxa" w:w="3888"/>
            <w:tcMar>
              <w:top w:w="80" w:type="dxa"/>
              <w:start w:w="120" w:type="dxa"/>
              <w:bottom w:w="80" w:type="dxa"/>
              <w:end w:w="120" w:type="dxa"/>
            </w:tcMar>
            <w:vAlign w:val="center"/>
          </w:tcPr>
          <w:p>
            <w:r>
              <w:t>校园合成场景与话术演示</w:t>
            </w:r>
          </w:p>
        </w:tc>
      </w:tr>
      <w:tr>
        <w:tc>
          <w:tcPr>
            <w:tcW w:type="dxa" w:w="3888"/>
            <w:tcMar>
              <w:top w:w="80" w:type="dxa"/>
              <w:start w:w="120" w:type="dxa"/>
              <w:bottom w:w="80" w:type="dxa"/>
              <w:end w:w="120" w:type="dxa"/>
            </w:tcMar>
            <w:vAlign w:val="center"/>
          </w:tcPr>
          <w:p>
            <w:r>
              <w:t>cbt_chunks.jsonl</w:t>
            </w:r>
          </w:p>
        </w:tc>
        <w:tc>
          <w:tcPr>
            <w:tcW w:type="dxa" w:w="1152"/>
            <w:tcMar>
              <w:top w:w="80" w:type="dxa"/>
              <w:start w:w="120" w:type="dxa"/>
              <w:bottom w:w="80" w:type="dxa"/>
              <w:end w:w="120" w:type="dxa"/>
            </w:tcMar>
            <w:vAlign w:val="center"/>
          </w:tcPr>
          <w:p>
            <w:r>
              <w:t>6</w:t>
            </w:r>
          </w:p>
        </w:tc>
        <w:tc>
          <w:tcPr>
            <w:tcW w:type="dxa" w:w="3888"/>
            <w:tcMar>
              <w:top w:w="80" w:type="dxa"/>
              <w:start w:w="120" w:type="dxa"/>
              <w:bottom w:w="80" w:type="dxa"/>
              <w:end w:w="120" w:type="dxa"/>
            </w:tcMar>
            <w:vAlign w:val="center"/>
          </w:tcPr>
          <w:p>
            <w:r>
              <w:t>CBT 核心理论和事实剥离</w:t>
            </w:r>
          </w:p>
        </w:tc>
      </w:tr>
      <w:tr>
        <w:tc>
          <w:tcPr>
            <w:tcW w:type="dxa" w:w="3888"/>
            <w:tcMar>
              <w:top w:w="80" w:type="dxa"/>
              <w:start w:w="120" w:type="dxa"/>
              <w:bottom w:w="80" w:type="dxa"/>
              <w:end w:w="120" w:type="dxa"/>
            </w:tcMar>
            <w:vAlign w:val="center"/>
          </w:tcPr>
          <w:p>
            <w:r>
              <w:t>dialogue_chunks.jsonl</w:t>
            </w:r>
          </w:p>
        </w:tc>
        <w:tc>
          <w:tcPr>
            <w:tcW w:type="dxa" w:w="1152"/>
            <w:tcMar>
              <w:top w:w="80" w:type="dxa"/>
              <w:start w:w="120" w:type="dxa"/>
              <w:bottom w:w="80" w:type="dxa"/>
              <w:end w:w="120" w:type="dxa"/>
            </w:tcMar>
            <w:vAlign w:val="center"/>
          </w:tcPr>
          <w:p>
            <w:r>
              <w:t>4</w:t>
            </w:r>
          </w:p>
        </w:tc>
        <w:tc>
          <w:tcPr>
            <w:tcW w:type="dxa" w:w="3888"/>
            <w:tcMar>
              <w:top w:w="80" w:type="dxa"/>
              <w:start w:w="120" w:type="dxa"/>
              <w:bottom w:w="80" w:type="dxa"/>
              <w:end w:w="120" w:type="dxa"/>
            </w:tcMar>
            <w:vAlign w:val="center"/>
          </w:tcPr>
          <w:p>
            <w:r>
              <w:t>对话风格和互动结构</w:t>
            </w:r>
          </w:p>
        </w:tc>
      </w:tr>
      <w:tr>
        <w:tc>
          <w:tcPr>
            <w:tcW w:type="dxa" w:w="3888"/>
            <w:tcMar>
              <w:top w:w="80" w:type="dxa"/>
              <w:start w:w="120" w:type="dxa"/>
              <w:bottom w:w="80" w:type="dxa"/>
              <w:end w:w="120" w:type="dxa"/>
            </w:tcMar>
            <w:vAlign w:val="center"/>
          </w:tcPr>
          <w:p>
            <w:r>
              <w:t>policy_chunks.jsonl</w:t>
            </w:r>
          </w:p>
        </w:tc>
        <w:tc>
          <w:tcPr>
            <w:tcW w:type="dxa" w:w="1152"/>
            <w:tcMar>
              <w:top w:w="80" w:type="dxa"/>
              <w:start w:w="120" w:type="dxa"/>
              <w:bottom w:w="80" w:type="dxa"/>
              <w:end w:w="120" w:type="dxa"/>
            </w:tcMar>
            <w:vAlign w:val="center"/>
          </w:tcPr>
          <w:p>
            <w:r>
              <w:t>2</w:t>
            </w:r>
          </w:p>
        </w:tc>
        <w:tc>
          <w:tcPr>
            <w:tcW w:type="dxa" w:w="3888"/>
            <w:tcMar>
              <w:top w:w="80" w:type="dxa"/>
              <w:start w:w="120" w:type="dxa"/>
              <w:bottom w:w="80" w:type="dxa"/>
              <w:end w:w="120" w:type="dxa"/>
            </w:tcMar>
            <w:vAlign w:val="center"/>
          </w:tcPr>
          <w:p>
            <w:r>
              <w:t>中国校园心理健康政策</w:t>
            </w:r>
          </w:p>
        </w:tc>
      </w:tr>
    </w:tbl>
    <w:p/>
    <w:p>
      <w:r>
        <w:t>知识库治理不是简单把资料放进向量库，而是先判断资料能做什么、不能做什么。权威指南可以支持风险识别和转介边界，但不能被写成个案诊断；CBT 理论可以支持解释框架和对话技术，但不能替代治疗计划；合成案例只能用于格式演示，不能冒充真实临床案例。为了保持这一边界，每条知识块均应保留来源类型、目标对象、关键词、摘要、来源链接、证据等级、场景、技术、风险等级和案例状态等字段。</w:t>
      </w:r>
    </w:p>
    <w:p>
      <w:pPr>
        <w:pStyle w:val="Heading2"/>
      </w:pPr>
      <w:r>
        <w:t>3.5 用户可控记忆与隐私边界</w:t>
      </w:r>
    </w:p>
    <w:p>
      <w:r>
        <w:t>问卷和开放评论都显示，记忆功能是心理 AI 的关键矛盾点。一方面，用户说“记住我之前说过的事”，也有人希望“一个对话框一直用”，因为持续记忆可以减少重复解释，提高建议的贴合度；另一方面，问卷中也设置了“一键清空记忆”和“阅后即焚”选项，说明青少年在隐私困扰场景下非常需要控制权。因此，项目不把记忆设计成默认无限保存，而是设计为用户可控的分层记忆：短期对话上下文用于当前交流，长期偏好或历史信息必须经过用户授权，用户应能够清空、分话题保存或选择不保存。</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E8EEF5"/>
            <w:tcMar>
              <w:top w:w="80" w:type="dxa"/>
              <w:start w:w="120" w:type="dxa"/>
              <w:bottom w:w="80" w:type="dxa"/>
              <w:end w:w="120" w:type="dxa"/>
            </w:tcMar>
            <w:vAlign w:val="center"/>
          </w:tcPr>
          <w:p>
            <w:r>
              <w:rPr>
                <w:rFonts w:ascii="Calibri" w:hAnsi="Calibri" w:eastAsia="黑体"/>
                <w:b/>
              </w:rPr>
              <w:t>记忆层级</w:t>
            </w:r>
          </w:p>
        </w:tc>
        <w:tc>
          <w:tcPr>
            <w:tcW w:type="dxa" w:w="2592"/>
            <w:shd w:fill="E8EEF5"/>
            <w:tcMar>
              <w:top w:w="80" w:type="dxa"/>
              <w:start w:w="120" w:type="dxa"/>
              <w:bottom w:w="80" w:type="dxa"/>
              <w:end w:w="120" w:type="dxa"/>
            </w:tcMar>
            <w:vAlign w:val="center"/>
          </w:tcPr>
          <w:p>
            <w:r>
              <w:rPr>
                <w:rFonts w:ascii="Calibri" w:hAnsi="Calibri" w:eastAsia="黑体"/>
                <w:b/>
              </w:rPr>
              <w:t>保存内容</w:t>
            </w:r>
          </w:p>
        </w:tc>
        <w:tc>
          <w:tcPr>
            <w:tcW w:type="dxa" w:w="2304"/>
            <w:shd w:fill="E8EEF5"/>
            <w:tcMar>
              <w:top w:w="80" w:type="dxa"/>
              <w:start w:w="120" w:type="dxa"/>
              <w:bottom w:w="80" w:type="dxa"/>
              <w:end w:w="120" w:type="dxa"/>
            </w:tcMar>
            <w:vAlign w:val="center"/>
          </w:tcPr>
          <w:p>
            <w:r>
              <w:rPr>
                <w:rFonts w:ascii="Calibri" w:hAnsi="Calibri" w:eastAsia="黑体"/>
                <w:b/>
              </w:rPr>
              <w:t>用户控制方式</w:t>
            </w:r>
          </w:p>
        </w:tc>
        <w:tc>
          <w:tcPr>
            <w:tcW w:type="dxa" w:w="2592"/>
            <w:shd w:fill="E8EEF5"/>
            <w:tcMar>
              <w:top w:w="80" w:type="dxa"/>
              <w:start w:w="120" w:type="dxa"/>
              <w:bottom w:w="80" w:type="dxa"/>
              <w:end w:w="120" w:type="dxa"/>
            </w:tcMar>
            <w:vAlign w:val="center"/>
          </w:tcPr>
          <w:p>
            <w:r>
              <w:rPr>
                <w:rFonts w:ascii="Calibri" w:hAnsi="Calibri" w:eastAsia="黑体"/>
                <w:b/>
              </w:rPr>
              <w:t>设计动机</w:t>
            </w:r>
          </w:p>
        </w:tc>
      </w:tr>
      <w:tr>
        <w:tc>
          <w:tcPr>
            <w:tcW w:type="dxa" w:w="1872"/>
            <w:tcMar>
              <w:top w:w="80" w:type="dxa"/>
              <w:start w:w="120" w:type="dxa"/>
              <w:bottom w:w="80" w:type="dxa"/>
              <w:end w:w="120" w:type="dxa"/>
            </w:tcMar>
            <w:vAlign w:val="center"/>
          </w:tcPr>
          <w:p>
            <w:r>
              <w:t>当前会话记忆</w:t>
            </w:r>
          </w:p>
        </w:tc>
        <w:tc>
          <w:tcPr>
            <w:tcW w:type="dxa" w:w="2592"/>
            <w:tcMar>
              <w:top w:w="80" w:type="dxa"/>
              <w:start w:w="120" w:type="dxa"/>
              <w:bottom w:w="80" w:type="dxa"/>
              <w:end w:w="120" w:type="dxa"/>
            </w:tcMar>
            <w:vAlign w:val="center"/>
          </w:tcPr>
          <w:p>
            <w:r>
              <w:t>本轮对话中的事实、情绪、偏好。</w:t>
            </w:r>
          </w:p>
        </w:tc>
        <w:tc>
          <w:tcPr>
            <w:tcW w:type="dxa" w:w="2304"/>
            <w:tcMar>
              <w:top w:w="80" w:type="dxa"/>
              <w:start w:w="120" w:type="dxa"/>
              <w:bottom w:w="80" w:type="dxa"/>
              <w:end w:w="120" w:type="dxa"/>
            </w:tcMar>
            <w:vAlign w:val="center"/>
          </w:tcPr>
          <w:p>
            <w:r>
              <w:t>关闭后可清空。</w:t>
            </w:r>
          </w:p>
        </w:tc>
        <w:tc>
          <w:tcPr>
            <w:tcW w:type="dxa" w:w="2592"/>
            <w:tcMar>
              <w:top w:w="80" w:type="dxa"/>
              <w:start w:w="120" w:type="dxa"/>
              <w:bottom w:w="80" w:type="dxa"/>
              <w:end w:w="120" w:type="dxa"/>
            </w:tcMar>
            <w:vAlign w:val="center"/>
          </w:tcPr>
          <w:p>
            <w:r>
              <w:t>保证当前回应连贯。</w:t>
            </w:r>
          </w:p>
        </w:tc>
      </w:tr>
      <w:tr>
        <w:tc>
          <w:tcPr>
            <w:tcW w:type="dxa" w:w="1872"/>
            <w:tcMar>
              <w:top w:w="80" w:type="dxa"/>
              <w:start w:w="120" w:type="dxa"/>
              <w:bottom w:w="80" w:type="dxa"/>
              <w:end w:w="120" w:type="dxa"/>
            </w:tcMar>
            <w:vAlign w:val="center"/>
          </w:tcPr>
          <w:p>
            <w:r>
              <w:t>主题对话框</w:t>
            </w:r>
          </w:p>
        </w:tc>
        <w:tc>
          <w:tcPr>
            <w:tcW w:type="dxa" w:w="2592"/>
            <w:tcMar>
              <w:top w:w="80" w:type="dxa"/>
              <w:start w:w="120" w:type="dxa"/>
              <w:bottom w:w="80" w:type="dxa"/>
              <w:end w:w="120" w:type="dxa"/>
            </w:tcMar>
            <w:vAlign w:val="center"/>
          </w:tcPr>
          <w:p>
            <w:r>
              <w:t>情感、人际、健康等不同主题下的历史线索。</w:t>
            </w:r>
          </w:p>
        </w:tc>
        <w:tc>
          <w:tcPr>
            <w:tcW w:type="dxa" w:w="2304"/>
            <w:tcMar>
              <w:top w:w="80" w:type="dxa"/>
              <w:start w:w="120" w:type="dxa"/>
              <w:bottom w:w="80" w:type="dxa"/>
              <w:end w:w="120" w:type="dxa"/>
            </w:tcMar>
            <w:vAlign w:val="center"/>
          </w:tcPr>
          <w:p>
            <w:r>
              <w:t>用户可分框保留或删除。</w:t>
            </w:r>
          </w:p>
        </w:tc>
        <w:tc>
          <w:tcPr>
            <w:tcW w:type="dxa" w:w="2592"/>
            <w:tcMar>
              <w:top w:w="80" w:type="dxa"/>
              <w:start w:w="120" w:type="dxa"/>
              <w:bottom w:w="80" w:type="dxa"/>
              <w:end w:w="120" w:type="dxa"/>
            </w:tcMar>
            <w:vAlign w:val="center"/>
          </w:tcPr>
          <w:p>
            <w:r>
              <w:t>回应“一个对话框一直用”的需求。</w:t>
            </w:r>
          </w:p>
        </w:tc>
      </w:tr>
      <w:tr>
        <w:tc>
          <w:tcPr>
            <w:tcW w:type="dxa" w:w="1872"/>
            <w:tcMar>
              <w:top w:w="80" w:type="dxa"/>
              <w:start w:w="120" w:type="dxa"/>
              <w:bottom w:w="80" w:type="dxa"/>
              <w:end w:w="120" w:type="dxa"/>
            </w:tcMar>
            <w:vAlign w:val="center"/>
          </w:tcPr>
          <w:p>
            <w:r>
              <w:t>长期偏好</w:t>
            </w:r>
          </w:p>
        </w:tc>
        <w:tc>
          <w:tcPr>
            <w:tcW w:type="dxa" w:w="2592"/>
            <w:tcMar>
              <w:top w:w="80" w:type="dxa"/>
              <w:start w:w="120" w:type="dxa"/>
              <w:bottom w:w="80" w:type="dxa"/>
              <w:end w:w="120" w:type="dxa"/>
            </w:tcMar>
            <w:vAlign w:val="center"/>
          </w:tcPr>
          <w:p>
            <w:r>
              <w:t>称呼、表达风格、常见压力源。</w:t>
            </w:r>
          </w:p>
        </w:tc>
        <w:tc>
          <w:tcPr>
            <w:tcW w:type="dxa" w:w="2304"/>
            <w:tcMar>
              <w:top w:w="80" w:type="dxa"/>
              <w:start w:w="120" w:type="dxa"/>
              <w:bottom w:w="80" w:type="dxa"/>
              <w:end w:w="120" w:type="dxa"/>
            </w:tcMar>
            <w:vAlign w:val="center"/>
          </w:tcPr>
          <w:p>
            <w:r>
              <w:t>需明确授权，可一键清空。</w:t>
            </w:r>
          </w:p>
        </w:tc>
        <w:tc>
          <w:tcPr>
            <w:tcW w:type="dxa" w:w="2592"/>
            <w:tcMar>
              <w:top w:w="80" w:type="dxa"/>
              <w:start w:w="120" w:type="dxa"/>
              <w:bottom w:w="80" w:type="dxa"/>
              <w:end w:w="120" w:type="dxa"/>
            </w:tcMar>
            <w:vAlign w:val="center"/>
          </w:tcPr>
          <w:p>
            <w:r>
              <w:t>提升个性化但避免隐私失控。</w:t>
            </w:r>
          </w:p>
        </w:tc>
      </w:tr>
      <w:tr>
        <w:tc>
          <w:tcPr>
            <w:tcW w:type="dxa" w:w="1872"/>
            <w:tcMar>
              <w:top w:w="80" w:type="dxa"/>
              <w:start w:w="120" w:type="dxa"/>
              <w:bottom w:w="80" w:type="dxa"/>
              <w:end w:w="120" w:type="dxa"/>
            </w:tcMar>
            <w:vAlign w:val="center"/>
          </w:tcPr>
          <w:p>
            <w:r>
              <w:t>敏感风险记录</w:t>
            </w:r>
          </w:p>
        </w:tc>
        <w:tc>
          <w:tcPr>
            <w:tcW w:type="dxa" w:w="2592"/>
            <w:tcMar>
              <w:top w:w="80" w:type="dxa"/>
              <w:start w:w="120" w:type="dxa"/>
              <w:bottom w:w="80" w:type="dxa"/>
              <w:end w:w="120" w:type="dxa"/>
            </w:tcMar>
            <w:vAlign w:val="center"/>
          </w:tcPr>
          <w:p>
            <w:r>
              <w:t>自伤、自杀、侵害等危机线索。</w:t>
            </w:r>
          </w:p>
        </w:tc>
        <w:tc>
          <w:tcPr>
            <w:tcW w:type="dxa" w:w="2304"/>
            <w:tcMar>
              <w:top w:w="80" w:type="dxa"/>
              <w:start w:w="120" w:type="dxa"/>
              <w:bottom w:w="80" w:type="dxa"/>
              <w:end w:w="120" w:type="dxa"/>
            </w:tcMar>
            <w:vAlign w:val="center"/>
          </w:tcPr>
          <w:p>
            <w:r>
              <w:t>仅用于安全提醒和现实求助建议。</w:t>
            </w:r>
          </w:p>
        </w:tc>
        <w:tc>
          <w:tcPr>
            <w:tcW w:type="dxa" w:w="2592"/>
            <w:tcMar>
              <w:top w:w="80" w:type="dxa"/>
              <w:start w:w="120" w:type="dxa"/>
              <w:bottom w:w="80" w:type="dxa"/>
              <w:end w:w="120" w:type="dxa"/>
            </w:tcMar>
            <w:vAlign w:val="center"/>
          </w:tcPr>
          <w:p>
            <w:r>
              <w:t>保护未成年人安全。</w:t>
            </w:r>
          </w:p>
        </w:tc>
      </w:tr>
    </w:tbl>
    <w:p/>
    <w:p>
      <w:pPr>
        <w:pStyle w:val="Heading1"/>
      </w:pPr>
      <w:r>
        <w:t>四、我们如何解决问题：过程性设计说明</w:t>
      </w:r>
    </w:p>
    <w:p>
      <w:r>
        <w:t>本项目从草稿到成果的推进并不是线性堆功能，而是不断根据问卷反馈和心理安全风险修正设计。早期草稿更像一个“会回应情绪的聊天工具”，但问卷数据和开放评论表明，用户真正关心的是能否不模板化、能否合理分析、能否给出当下可做的小建议、能否记住但又不泄露隐私。因此，后续版本把这些需求逐一转化成模块。</w:t>
      </w:r>
    </w:p>
    <w:p>
      <w:r>
        <w:t>`docs/survey_questionnaire.md` 说明问卷不是临时拼出来的，而是围绕破冰、语气偏好、抗疲劳、隐私担忧和低压力入口设计的。它与 `survey_export_2026-06-06.csv` 一起构成了“从用户痛点到产品模块”的证据链。</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E8EEF5"/>
            <w:tcMar>
              <w:top w:w="80" w:type="dxa"/>
              <w:start w:w="120" w:type="dxa"/>
              <w:bottom w:w="80" w:type="dxa"/>
              <w:end w:w="120" w:type="dxa"/>
            </w:tcMar>
            <w:vAlign w:val="center"/>
          </w:tcPr>
          <w:p>
            <w:r>
              <w:rPr>
                <w:rFonts w:ascii="Calibri" w:hAnsi="Calibri" w:eastAsia="黑体"/>
                <w:b/>
              </w:rPr>
              <w:t>问卷或风险证据</w:t>
            </w:r>
          </w:p>
        </w:tc>
        <w:tc>
          <w:tcPr>
            <w:tcW w:type="dxa" w:w="2304"/>
            <w:shd w:fill="E8EEF5"/>
            <w:tcMar>
              <w:top w:w="80" w:type="dxa"/>
              <w:start w:w="120" w:type="dxa"/>
              <w:bottom w:w="80" w:type="dxa"/>
              <w:end w:w="120" w:type="dxa"/>
            </w:tcMar>
            <w:vAlign w:val="center"/>
          </w:tcPr>
          <w:p>
            <w:r>
              <w:rPr>
                <w:rFonts w:ascii="Calibri" w:hAnsi="Calibri" w:eastAsia="黑体"/>
                <w:b/>
              </w:rPr>
              <w:t>草稿中的不足</w:t>
            </w:r>
          </w:p>
        </w:tc>
        <w:tc>
          <w:tcPr>
            <w:tcW w:type="dxa" w:w="2592"/>
            <w:shd w:fill="E8EEF5"/>
            <w:tcMar>
              <w:top w:w="80" w:type="dxa"/>
              <w:start w:w="120" w:type="dxa"/>
              <w:bottom w:w="80" w:type="dxa"/>
              <w:end w:w="120" w:type="dxa"/>
            </w:tcMar>
            <w:vAlign w:val="center"/>
          </w:tcPr>
          <w:p>
            <w:r>
              <w:rPr>
                <w:rFonts w:ascii="Calibri" w:hAnsi="Calibri" w:eastAsia="黑体"/>
                <w:b/>
              </w:rPr>
              <w:t>修订动作</w:t>
            </w:r>
          </w:p>
        </w:tc>
        <w:tc>
          <w:tcPr>
            <w:tcW w:type="dxa" w:w="2592"/>
            <w:shd w:fill="E8EEF5"/>
            <w:tcMar>
              <w:top w:w="80" w:type="dxa"/>
              <w:start w:w="120" w:type="dxa"/>
              <w:bottom w:w="80" w:type="dxa"/>
              <w:end w:w="120" w:type="dxa"/>
            </w:tcMar>
            <w:vAlign w:val="center"/>
          </w:tcPr>
          <w:p>
            <w:r>
              <w:rPr>
                <w:rFonts w:ascii="Calibri" w:hAnsi="Calibri" w:eastAsia="黑体"/>
                <w:b/>
              </w:rPr>
              <w:t>形成的成果模块</w:t>
            </w:r>
          </w:p>
        </w:tc>
      </w:tr>
      <w:tr>
        <w:tc>
          <w:tcPr>
            <w:tcW w:type="dxa" w:w="2880"/>
            <w:tcMar>
              <w:top w:w="80" w:type="dxa"/>
              <w:start w:w="120" w:type="dxa"/>
              <w:bottom w:w="80" w:type="dxa"/>
              <w:end w:w="120" w:type="dxa"/>
            </w:tcMar>
            <w:vAlign w:val="center"/>
          </w:tcPr>
          <w:p>
            <w:r>
              <w:t>痛点中“stiff_template”占比最高，开放评论说“不是那种完全套话”。</w:t>
            </w:r>
          </w:p>
        </w:tc>
        <w:tc>
          <w:tcPr>
            <w:tcW w:type="dxa" w:w="2304"/>
            <w:tcMar>
              <w:top w:w="80" w:type="dxa"/>
              <w:start w:w="120" w:type="dxa"/>
              <w:bottom w:w="80" w:type="dxa"/>
              <w:end w:w="120" w:type="dxa"/>
            </w:tcMar>
            <w:vAlign w:val="center"/>
          </w:tcPr>
          <w:p>
            <w:r>
              <w:t>回应容易像固定模板。</w:t>
            </w:r>
          </w:p>
        </w:tc>
        <w:tc>
          <w:tcPr>
            <w:tcW w:type="dxa" w:w="2592"/>
            <w:tcMar>
              <w:top w:w="80" w:type="dxa"/>
              <w:start w:w="120" w:type="dxa"/>
              <w:bottom w:w="80" w:type="dxa"/>
              <w:end w:w="120" w:type="dxa"/>
            </w:tcMar>
            <w:vAlign w:val="center"/>
          </w:tcPr>
          <w:p>
            <w:r>
              <w:t>引入场景、情绪、认知偏差和知识片段共同决定回应。</w:t>
            </w:r>
          </w:p>
        </w:tc>
        <w:tc>
          <w:tcPr>
            <w:tcW w:type="dxa" w:w="2592"/>
            <w:tcMar>
              <w:top w:w="80" w:type="dxa"/>
              <w:start w:w="120" w:type="dxa"/>
              <w:bottom w:w="80" w:type="dxa"/>
              <w:end w:w="120" w:type="dxa"/>
            </w:tcMar>
            <w:vAlign w:val="center"/>
          </w:tcPr>
          <w:p>
            <w:r>
              <w:t>个性化回应生成模块</w:t>
            </w:r>
          </w:p>
        </w:tc>
      </w:tr>
      <w:tr>
        <w:tc>
          <w:tcPr>
            <w:tcW w:type="dxa" w:w="2880"/>
            <w:tcMar>
              <w:top w:w="80" w:type="dxa"/>
              <w:start w:w="120" w:type="dxa"/>
              <w:bottom w:w="80" w:type="dxa"/>
              <w:end w:w="120" w:type="dxa"/>
            </w:tcMar>
            <w:vAlign w:val="center"/>
          </w:tcPr>
          <w:p>
            <w:r>
              <w:t>开放评论说“希望不要再只是安慰我，合理去分析我的问题”。</w:t>
            </w:r>
          </w:p>
        </w:tc>
        <w:tc>
          <w:tcPr>
            <w:tcW w:type="dxa" w:w="2304"/>
            <w:tcMar>
              <w:top w:w="80" w:type="dxa"/>
              <w:start w:w="120" w:type="dxa"/>
              <w:bottom w:w="80" w:type="dxa"/>
              <w:end w:w="120" w:type="dxa"/>
            </w:tcMar>
            <w:vAlign w:val="center"/>
          </w:tcPr>
          <w:p>
            <w:r>
              <w:t>只有共情，缺少结构化分析。</w:t>
            </w:r>
          </w:p>
        </w:tc>
        <w:tc>
          <w:tcPr>
            <w:tcW w:type="dxa" w:w="2592"/>
            <w:tcMar>
              <w:top w:w="80" w:type="dxa"/>
              <w:start w:w="120" w:type="dxa"/>
              <w:bottom w:w="80" w:type="dxa"/>
              <w:end w:w="120" w:type="dxa"/>
            </w:tcMar>
            <w:vAlign w:val="center"/>
          </w:tcPr>
          <w:p>
            <w:r>
              <w:t>用 ABC 模型拆分事实、信念、情绪行为。</w:t>
            </w:r>
          </w:p>
        </w:tc>
        <w:tc>
          <w:tcPr>
            <w:tcW w:type="dxa" w:w="2592"/>
            <w:tcMar>
              <w:top w:w="80" w:type="dxa"/>
              <w:start w:w="120" w:type="dxa"/>
              <w:bottom w:w="80" w:type="dxa"/>
              <w:end w:w="120" w:type="dxa"/>
            </w:tcMar>
            <w:vAlign w:val="center"/>
          </w:tcPr>
          <w:p>
            <w:r>
              <w:t>事实剥离与认知偏差识别模块</w:t>
            </w:r>
          </w:p>
        </w:tc>
      </w:tr>
      <w:tr>
        <w:tc>
          <w:tcPr>
            <w:tcW w:type="dxa" w:w="2880"/>
            <w:tcMar>
              <w:top w:w="80" w:type="dxa"/>
              <w:start w:w="120" w:type="dxa"/>
              <w:bottom w:w="80" w:type="dxa"/>
              <w:end w:w="120" w:type="dxa"/>
            </w:tcMar>
            <w:vAlign w:val="center"/>
          </w:tcPr>
          <w:p>
            <w:r>
              <w:t>开放评论说“多给一点当下能做的一些微小能缓解压力行为的建议”。</w:t>
            </w:r>
          </w:p>
        </w:tc>
        <w:tc>
          <w:tcPr>
            <w:tcW w:type="dxa" w:w="2304"/>
            <w:tcMar>
              <w:top w:w="80" w:type="dxa"/>
              <w:start w:w="120" w:type="dxa"/>
              <w:bottom w:w="80" w:type="dxa"/>
              <w:end w:w="120" w:type="dxa"/>
            </w:tcMar>
            <w:vAlign w:val="center"/>
          </w:tcPr>
          <w:p>
            <w:r>
              <w:t>建议偏泛泛而谈。</w:t>
            </w:r>
          </w:p>
        </w:tc>
        <w:tc>
          <w:tcPr>
            <w:tcW w:type="dxa" w:w="2592"/>
            <w:tcMar>
              <w:top w:w="80" w:type="dxa"/>
              <w:start w:w="120" w:type="dxa"/>
              <w:bottom w:w="80" w:type="dxa"/>
              <w:end w:w="120" w:type="dxa"/>
            </w:tcMar>
            <w:vAlign w:val="center"/>
          </w:tcPr>
          <w:p>
            <w:r>
              <w:t>把每次回应收束到可执行小行动。</w:t>
            </w:r>
          </w:p>
        </w:tc>
        <w:tc>
          <w:tcPr>
            <w:tcW w:type="dxa" w:w="2592"/>
            <w:tcMar>
              <w:top w:w="80" w:type="dxa"/>
              <w:start w:w="120" w:type="dxa"/>
              <w:bottom w:w="80" w:type="dxa"/>
              <w:end w:w="120" w:type="dxa"/>
            </w:tcMar>
            <w:vAlign w:val="center"/>
          </w:tcPr>
          <w:p>
            <w:r>
              <w:t>小行动建议模块</w:t>
            </w:r>
          </w:p>
        </w:tc>
      </w:tr>
      <w:tr>
        <w:tc>
          <w:tcPr>
            <w:tcW w:type="dxa" w:w="2880"/>
            <w:tcMar>
              <w:top w:w="80" w:type="dxa"/>
              <w:start w:w="120" w:type="dxa"/>
              <w:bottom w:w="80" w:type="dxa"/>
              <w:end w:w="120" w:type="dxa"/>
            </w:tcMar>
            <w:vAlign w:val="center"/>
          </w:tcPr>
          <w:p>
            <w:r>
              <w:t>开放评论说“记住我之前说过的事”，同时问卷包含一键清空和阅后即焚选项。</w:t>
            </w:r>
          </w:p>
        </w:tc>
        <w:tc>
          <w:tcPr>
            <w:tcW w:type="dxa" w:w="2304"/>
            <w:tcMar>
              <w:top w:w="80" w:type="dxa"/>
              <w:start w:w="120" w:type="dxa"/>
              <w:bottom w:w="80" w:type="dxa"/>
              <w:end w:w="120" w:type="dxa"/>
            </w:tcMar>
            <w:vAlign w:val="center"/>
          </w:tcPr>
          <w:p>
            <w:r>
              <w:t>没有处理连续性与隐私的冲突。</w:t>
            </w:r>
          </w:p>
        </w:tc>
        <w:tc>
          <w:tcPr>
            <w:tcW w:type="dxa" w:w="2592"/>
            <w:tcMar>
              <w:top w:w="80" w:type="dxa"/>
              <w:start w:w="120" w:type="dxa"/>
              <w:bottom w:w="80" w:type="dxa"/>
              <w:end w:w="120" w:type="dxa"/>
            </w:tcMar>
            <w:vAlign w:val="center"/>
          </w:tcPr>
          <w:p>
            <w:r>
              <w:t>设计用户可控分层记忆。</w:t>
            </w:r>
          </w:p>
        </w:tc>
        <w:tc>
          <w:tcPr>
            <w:tcW w:type="dxa" w:w="2592"/>
            <w:tcMar>
              <w:top w:w="80" w:type="dxa"/>
              <w:start w:w="120" w:type="dxa"/>
              <w:bottom w:w="80" w:type="dxa"/>
              <w:end w:w="120" w:type="dxa"/>
            </w:tcMar>
            <w:vAlign w:val="center"/>
          </w:tcPr>
          <w:p>
            <w:r>
              <w:t>记忆与隐私边界模块</w:t>
            </w:r>
          </w:p>
        </w:tc>
      </w:tr>
      <w:tr>
        <w:tc>
          <w:tcPr>
            <w:tcW w:type="dxa" w:w="2880"/>
            <w:tcMar>
              <w:top w:w="80" w:type="dxa"/>
              <w:start w:w="120" w:type="dxa"/>
              <w:bottom w:w="80" w:type="dxa"/>
              <w:end w:w="120" w:type="dxa"/>
            </w:tcMar>
            <w:vAlign w:val="center"/>
          </w:tcPr>
          <w:p>
            <w:r>
              <w:t>高度隐私、深夜情绪、社交疲惫为高频求助场景。</w:t>
            </w:r>
          </w:p>
        </w:tc>
        <w:tc>
          <w:tcPr>
            <w:tcW w:type="dxa" w:w="2304"/>
            <w:tcMar>
              <w:top w:w="80" w:type="dxa"/>
              <w:start w:w="120" w:type="dxa"/>
              <w:bottom w:w="80" w:type="dxa"/>
              <w:end w:w="120" w:type="dxa"/>
            </w:tcMar>
            <w:vAlign w:val="center"/>
          </w:tcPr>
          <w:p>
            <w:r>
              <w:t>入口可能过重，像测评或盘问。</w:t>
            </w:r>
          </w:p>
        </w:tc>
        <w:tc>
          <w:tcPr>
            <w:tcW w:type="dxa" w:w="2592"/>
            <w:tcMar>
              <w:top w:w="80" w:type="dxa"/>
              <w:start w:w="120" w:type="dxa"/>
              <w:bottom w:w="80" w:type="dxa"/>
              <w:end w:w="120" w:type="dxa"/>
            </w:tcMar>
            <w:vAlign w:val="center"/>
          </w:tcPr>
          <w:p>
            <w:r>
              <w:t>首屏采用表情包选择、温和寒暄和模式选择。</w:t>
            </w:r>
          </w:p>
        </w:tc>
        <w:tc>
          <w:tcPr>
            <w:tcW w:type="dxa" w:w="2592"/>
            <w:tcMar>
              <w:top w:w="80" w:type="dxa"/>
              <w:start w:w="120" w:type="dxa"/>
              <w:bottom w:w="80" w:type="dxa"/>
              <w:end w:w="120" w:type="dxa"/>
            </w:tcMar>
            <w:vAlign w:val="center"/>
          </w:tcPr>
          <w:p>
            <w:r>
              <w:t>低压力进入原型</w:t>
            </w:r>
          </w:p>
        </w:tc>
      </w:tr>
      <w:tr>
        <w:tc>
          <w:tcPr>
            <w:tcW w:type="dxa" w:w="2880"/>
            <w:tcMar>
              <w:top w:w="80" w:type="dxa"/>
              <w:start w:w="120" w:type="dxa"/>
              <w:bottom w:w="80" w:type="dxa"/>
              <w:end w:w="120" w:type="dxa"/>
            </w:tcMar>
            <w:vAlign w:val="center"/>
          </w:tcPr>
          <w:p>
            <w:r>
              <w:t>问卷第3题要求用户用1-3个表情代表负面/低谷情绪。</w:t>
            </w:r>
          </w:p>
        </w:tc>
        <w:tc>
          <w:tcPr>
            <w:tcW w:type="dxa" w:w="2304"/>
            <w:tcMar>
              <w:top w:w="80" w:type="dxa"/>
              <w:start w:w="120" w:type="dxa"/>
              <w:bottom w:w="80" w:type="dxa"/>
              <w:end w:w="120" w:type="dxa"/>
            </w:tcMar>
            <w:vAlign w:val="center"/>
          </w:tcPr>
          <w:p>
            <w:r>
              <w:t>文字倾诉门槛过高，用户可能不知道如何开口。</w:t>
            </w:r>
          </w:p>
        </w:tc>
        <w:tc>
          <w:tcPr>
            <w:tcW w:type="dxa" w:w="2592"/>
            <w:tcMar>
              <w:top w:w="80" w:type="dxa"/>
              <w:start w:w="120" w:type="dxa"/>
              <w:bottom w:w="80" w:type="dxa"/>
              <w:end w:w="120" w:type="dxa"/>
            </w:tcMar>
            <w:vAlign w:val="center"/>
          </w:tcPr>
          <w:p>
            <w:r>
              <w:t>把表情包作为情绪输入前置入口。</w:t>
            </w:r>
          </w:p>
        </w:tc>
        <w:tc>
          <w:tcPr>
            <w:tcW w:type="dxa" w:w="2592"/>
            <w:tcMar>
              <w:top w:w="80" w:type="dxa"/>
              <w:start w:w="120" w:type="dxa"/>
              <w:bottom w:w="80" w:type="dxa"/>
              <w:end w:w="120" w:type="dxa"/>
            </w:tcMar>
            <w:vAlign w:val="center"/>
          </w:tcPr>
          <w:p>
            <w:r>
              <w:t>情绪表情包选择模块</w:t>
            </w:r>
          </w:p>
        </w:tc>
      </w:tr>
      <w:tr>
        <w:tc>
          <w:tcPr>
            <w:tcW w:type="dxa" w:w="2880"/>
            <w:tcMar>
              <w:top w:w="80" w:type="dxa"/>
              <w:start w:w="120" w:type="dxa"/>
              <w:bottom w:w="80" w:type="dxa"/>
              <w:end w:w="120" w:type="dxa"/>
            </w:tcMar>
            <w:vAlign w:val="center"/>
          </w:tcPr>
          <w:p>
            <w:r>
              <w:t>开放反馈反复提到“像人”“不要太套路化”。</w:t>
            </w:r>
          </w:p>
        </w:tc>
        <w:tc>
          <w:tcPr>
            <w:tcW w:type="dxa" w:w="2304"/>
            <w:tcMar>
              <w:top w:w="80" w:type="dxa"/>
              <w:start w:w="120" w:type="dxa"/>
              <w:bottom w:w="80" w:type="dxa"/>
              <w:end w:w="120" w:type="dxa"/>
            </w:tcMar>
            <w:vAlign w:val="center"/>
          </w:tcPr>
          <w:p>
            <w:r>
              <w:t>AI容易输出长段、规整、像模板的话。</w:t>
            </w:r>
          </w:p>
        </w:tc>
        <w:tc>
          <w:tcPr>
            <w:tcW w:type="dxa" w:w="2592"/>
            <w:tcMar>
              <w:top w:w="80" w:type="dxa"/>
              <w:start w:w="120" w:type="dxa"/>
              <w:bottom w:w="80" w:type="dxa"/>
              <w:end w:w="120" w:type="dxa"/>
            </w:tcMar>
            <w:vAlign w:val="center"/>
          </w:tcPr>
          <w:p>
            <w:r>
              <w:t>通过提示词工程约束短句、口语、引用用户原话。</w:t>
            </w:r>
          </w:p>
        </w:tc>
        <w:tc>
          <w:tcPr>
            <w:tcW w:type="dxa" w:w="2592"/>
            <w:tcMar>
              <w:top w:w="80" w:type="dxa"/>
              <w:start w:w="120" w:type="dxa"/>
              <w:bottom w:w="80" w:type="dxa"/>
              <w:end w:w="120" w:type="dxa"/>
            </w:tcMar>
            <w:vAlign w:val="center"/>
          </w:tcPr>
          <w:p>
            <w:r>
              <w:t>拟人化回应提示词模块</w:t>
            </w:r>
          </w:p>
        </w:tc>
      </w:tr>
      <w:tr>
        <w:tc>
          <w:tcPr>
            <w:tcW w:type="dxa" w:w="2880"/>
            <w:tcMar>
              <w:top w:w="80" w:type="dxa"/>
              <w:start w:w="120" w:type="dxa"/>
              <w:bottom w:w="80" w:type="dxa"/>
              <w:end w:w="120" w:type="dxa"/>
            </w:tcMar>
            <w:vAlign w:val="center"/>
          </w:tcPr>
          <w:p>
            <w:r>
              <w:t>测试中发现首轮长句容易造成阅读负担。</w:t>
            </w:r>
          </w:p>
        </w:tc>
        <w:tc>
          <w:tcPr>
            <w:tcW w:type="dxa" w:w="2304"/>
            <w:tcMar>
              <w:top w:w="80" w:type="dxa"/>
              <w:start w:w="120" w:type="dxa"/>
              <w:bottom w:w="80" w:type="dxa"/>
              <w:end w:w="120" w:type="dxa"/>
            </w:tcMar>
            <w:vAlign w:val="center"/>
          </w:tcPr>
          <w:p>
            <w:r>
              <w:t>系统想表达很多，但用户第一轮未必愿意读。</w:t>
            </w:r>
          </w:p>
        </w:tc>
        <w:tc>
          <w:tcPr>
            <w:tcW w:type="dxa" w:w="2592"/>
            <w:tcMar>
              <w:top w:w="80" w:type="dxa"/>
              <w:start w:w="120" w:type="dxa"/>
              <w:bottom w:w="80" w:type="dxa"/>
              <w:end w:w="120" w:type="dxa"/>
            </w:tcMar>
            <w:vAlign w:val="center"/>
          </w:tcPr>
          <w:p>
            <w:r>
              <w:t>建立长句压缩为短句的改写流程。</w:t>
            </w:r>
          </w:p>
        </w:tc>
        <w:tc>
          <w:tcPr>
            <w:tcW w:type="dxa" w:w="2592"/>
            <w:tcMar>
              <w:top w:w="80" w:type="dxa"/>
              <w:start w:w="120" w:type="dxa"/>
              <w:bottom w:w="80" w:type="dxa"/>
              <w:end w:w="120" w:type="dxa"/>
            </w:tcMar>
            <w:vAlign w:val="center"/>
          </w:tcPr>
          <w:p>
            <w:r>
              <w:t>短句化开场与轻量交互模块</w:t>
            </w:r>
          </w:p>
        </w:tc>
      </w:tr>
      <w:tr>
        <w:tc>
          <w:tcPr>
            <w:tcW w:type="dxa" w:w="2880"/>
            <w:tcMar>
              <w:top w:w="80" w:type="dxa"/>
              <w:start w:w="120" w:type="dxa"/>
              <w:bottom w:w="80" w:type="dxa"/>
              <w:end w:w="120" w:type="dxa"/>
            </w:tcMar>
            <w:vAlign w:val="center"/>
          </w:tcPr>
          <w:p>
            <w:r>
              <w:t>未成年人心理支持存在自伤、自杀、侵害等安全风险。</w:t>
            </w:r>
          </w:p>
        </w:tc>
        <w:tc>
          <w:tcPr>
            <w:tcW w:type="dxa" w:w="2304"/>
            <w:tcMar>
              <w:top w:w="80" w:type="dxa"/>
              <w:start w:w="120" w:type="dxa"/>
              <w:bottom w:w="80" w:type="dxa"/>
              <w:end w:w="120" w:type="dxa"/>
            </w:tcMar>
            <w:vAlign w:val="center"/>
          </w:tcPr>
          <w:p>
            <w:r>
              <w:t>普通 CBT 可能误用于危机场景。</w:t>
            </w:r>
          </w:p>
        </w:tc>
        <w:tc>
          <w:tcPr>
            <w:tcW w:type="dxa" w:w="2592"/>
            <w:tcMar>
              <w:top w:w="80" w:type="dxa"/>
              <w:start w:w="120" w:type="dxa"/>
              <w:bottom w:w="80" w:type="dxa"/>
              <w:end w:w="120" w:type="dxa"/>
            </w:tcMar>
            <w:vAlign w:val="center"/>
          </w:tcPr>
          <w:p>
            <w:r>
              <w:t>危机知识块覆盖普通回应。</w:t>
            </w:r>
          </w:p>
        </w:tc>
        <w:tc>
          <w:tcPr>
            <w:tcW w:type="dxa" w:w="2592"/>
            <w:tcMar>
              <w:top w:w="80" w:type="dxa"/>
              <w:start w:w="120" w:type="dxa"/>
              <w:bottom w:w="80" w:type="dxa"/>
              <w:end w:w="120" w:type="dxa"/>
            </w:tcMar>
            <w:vAlign w:val="center"/>
          </w:tcPr>
          <w:p>
            <w:r>
              <w:t>安全优先风险路由</w:t>
            </w:r>
          </w:p>
        </w:tc>
      </w:tr>
    </w:tbl>
    <w:p/>
    <w:p>
      <w:pPr>
        <w:pStyle w:val="Heading2"/>
      </w:pPr>
      <w:r>
        <w:t>4.1 从“普通安慰”改为“结构化支持”</w:t>
      </w:r>
    </w:p>
    <w:p>
      <w:r>
        <w:t>这一改动直接回应问卷开放评论中的“希望不要再只是安慰我”和“可以理性但不能太理性，要感性”。早期设计中，智能体容易输出“别难过”“你已经很棒了”等泛化安慰。我们认为这种回应虽然温和，但无法帮助青少年理解情绪来源，也难以形成可执行行动。因此，我们把回应流程改为五步：情绪接纳、事实剥离、信念标注、平衡解释、小行动建议。</w:t>
      </w:r>
    </w:p>
    <w:p>
      <w:r>
        <w:t>这一路径对应 CBT 中从情境到自动化思维再到情绪行为结果的整理过程。与传统问答式 AI 不同，本项目不把“回答得像人”作为唯一目标，而是要求每一次回应都能说明：它接住了什么情绪、确认了哪些事实、识别了哪些推断、给出的行动是否足够小而具体。例如，对于“听写错了 6 个，我完了”这类输入，系统不能只说“别灰心”，而应明确指出“错 6 个词”是事实，“我完了”是灾难化预测，下一步可以先把错词分成拼写、发音和词义三类。</w:t>
      </w:r>
    </w:p>
    <w:p>
      <w:pPr>
        <w:pStyle w:val="Heading2"/>
      </w:pPr>
      <w:r>
        <w:t>4.2 从“能回答”改为“有证据边界”</w:t>
      </w:r>
    </w:p>
    <w:p>
      <w:r>
        <w:t>这一改动回应的是“专业”与“非诊断”之间的矛盾。用户希望 AI 更专业，但比赛项目和未成年人心理安全要求决定了系统不能进行正式诊断。心理支持智能体不能只追求回答流畅，还必须知道哪些内容能说、哪些内容不能说。我们建立 RAG 质量规则，要求知识块保留 source_urls、evidence_level、scenario、technique、safety_level 和 case_status 等字段；同时禁止把合成示例写成真实临床案例。</w:t>
      </w:r>
    </w:p>
    <w:p>
      <w:r>
        <w:t>这一设计解决的是心理 AI 中常见的“听起来专业但无法核验”的问题。报告和系统都不使用无法追溯的“研究表明”作为论据，而是将 WHO、NICE、AAP、AACAP、教育部政策文件和 Beck Institute CBT 资料作为不同层级的支撑材料。其中，国际指南承担安全与转介边界，政策文件承担校园应用背景，CBT 资料承担对话技术框架，合成场景仅用于演示输出格式。</w:t>
      </w:r>
    </w:p>
    <w:p>
      <w:pPr>
        <w:pStyle w:val="Heading2"/>
      </w:pPr>
      <w:r>
        <w:t>4.3 从“统一话术”改为“风险分层”</w:t>
      </w:r>
    </w:p>
    <w:p>
      <w:r>
        <w:t>青少年输入可能只是普通学业压力，也可能包含危机信号。为解决不同风险混在一起的问题，我们设计了安全优先路由：危机知识块覆盖普通 CBT；升高风险先澄清安全和现实支持；普通场景再执行事实剥离和认知重评。</w:t>
      </w:r>
    </w:p>
    <w:p>
      <w:r>
        <w:t>风险分层的关键不是把用户贴上标签，而是决定系统应该采取哪类行动。普通压力场景中，系统可以使用共情、ABC 整理和小行动；升高风险场景中，系统应询问安全状态、持续时间、功能受损和可获得支持；危机场景中，系统必须停止普通陪聊，转向现实成年人、学校心理老师、专业人员或紧急资源。这个规则也回应了未成年人应用场景中的伦理要求：AI 可以作为辅助入口，但不能让青少年独自处理高风险问题。</w:t>
      </w:r>
    </w:p>
    <w:p>
      <w:pPr>
        <w:pStyle w:val="Heading2"/>
      </w:pPr>
      <w:r>
        <w:t>4.4 情绪表情包选择：把复杂情绪变成低压力输入</w:t>
      </w:r>
    </w:p>
    <w:p>
      <w:r>
        <w:t>问卷第 3 题要求受访者凭直觉选择 1-3 个最能代表当下负面或低谷情绪的表情包。这个设计不是为了让页面更活泼，而是为了解决青少年在心理求助起点上的表达困难。很多用户并不是没有情绪，而是不知道如何把情绪组织成完整句子；尤其在深夜 emo、社交疲惫、高度隐私困扰等场景中，要求用户一开始就写长段描述，会提高退出概率。因此，我们把表情包选择设计为一种低压力情绪入口：用户可以先用 🫠、😭、😑、💤 等符号表达状态，系统再根据表情组合推断可能的情绪倾向，用更轻的句子邀请用户继续，而不是立刻进入正式问答。</w:t>
      </w:r>
    </w:p>
    <w:p>
      <w:r>
        <w:t>这一模块的成果是：首屏不再只有文字输入框，而可以提供“表情包情绪点选 + 轻量模式选择”。例如，当用户选择“🫠 + 💤”时，系统不直接问“请描述你的心理问题”，而可以回应：“看起来像是又累又有点撑不住。你想先吐槽两句，还是只让我陪你待一会儿？”这种回应把表达压力降到最低，同时保留继续倾诉的入口。</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figure09a_emoji_entry.png"/>
                    <pic:cNvPicPr/>
                  </pic:nvPicPr>
                  <pic:blipFill>
                    <a:blip r:embed="rId11"/>
                    <a:stretch>
                      <a:fillRect/>
                    </a:stretch>
                  </pic:blipFill>
                  <pic:spPr>
                    <a:xfrm>
                      <a:off x="0" y="0"/>
                      <a:ext cx="5760720" cy="3240405"/>
                    </a:xfrm>
                    <a:prstGeom prst="rect"/>
                  </pic:spPr>
                </pic:pic>
              </a:graphicData>
            </a:graphic>
          </wp:inline>
        </w:drawing>
      </w:r>
    </w:p>
    <w:p>
      <w:pPr>
        <w:jc w:val="center"/>
      </w:pPr>
      <w:r>
        <w:rPr>
          <w:i/>
          <w:color w:val="555555"/>
          <w:sz w:val="18"/>
        </w:rPr>
        <w:t>Figure 3. 情绪表情包低压力入口机制。</w:t>
      </w:r>
    </w:p>
    <w:p>
      <w:pPr>
        <w:pStyle w:val="Heading2"/>
      </w:pPr>
      <w:r>
        <w:t>4.5 长句变短句：从完整说明到可读开场</w:t>
      </w:r>
    </w:p>
    <w:p>
      <w:r>
        <w:t>在草稿阶段，智能体为了显得专业，容易一次性输出背景解释、共情、分析、建议和提醒，结果形成很长的回应。但问卷中的痛点显示，用户反感“说话机械套路”和“冷冰冰地做测评量表诊断”；开放评论也提到“不要太套路化了，感觉每次都能猜到 AI 说什么”。因此，我们把“长句变短句”作为专门的提示词工程任务，而不是简单删字。</w:t>
      </w:r>
    </w:p>
    <w:p>
      <w:r>
        <w:t>具体做法分为四步：第一，把原始长回应拆成事实、情绪、解释、建议和安全提醒；第二，判断当前轮次用户最需要哪一类信息；第三，只保留一个共情点、一个关键观察和一个可选择动作；第四，把书面语改成接近日常聊天的短句。例如，草稿句“根据你的描述，你目前可能处于明显的学业压力与自我评价降低状态，建议你先进行情绪调节并尝试记录自动化思维”会被改写为：“这次像是成绩一下把你打懵了。我们先不急着给你下结论，要不要先把发生了什么拆出来？”短句化的目标不是降低专业性，而是让专业支持先能被读完、被接住、被回应。</w:t>
      </w:r>
    </w:p>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figure09b_sentence_compression.png"/>
                    <pic:cNvPicPr/>
                  </pic:nvPicPr>
                  <pic:blipFill>
                    <a:blip r:embed="rId12"/>
                    <a:stretch>
                      <a:fillRect/>
                    </a:stretch>
                  </pic:blipFill>
                  <pic:spPr>
                    <a:xfrm>
                      <a:off x="0" y="0"/>
                      <a:ext cx="5760720" cy="3240405"/>
                    </a:xfrm>
                    <a:prstGeom prst="rect"/>
                  </pic:spPr>
                </pic:pic>
              </a:graphicData>
            </a:graphic>
          </wp:inline>
        </w:drawing>
      </w:r>
    </w:p>
    <w:p>
      <w:pPr>
        <w:jc w:val="center"/>
      </w:pPr>
      <w:r>
        <w:rPr>
          <w:i/>
          <w:color w:val="555555"/>
          <w:sz w:val="18"/>
        </w:rPr>
        <w:t>Figure 4. 长句到短句的表达压缩流程。</w:t>
      </w:r>
    </w:p>
    <w:p>
      <w:pPr>
        <w:pStyle w:val="Heading2"/>
      </w:pPr>
      <w:r>
        <w:t>4.6 拟人化提示词工程：像人，但不越界</w:t>
      </w:r>
    </w:p>
    <w:p>
      <w:r>
        <w:t>开放评论中多次出现“像人就行”“期待能更像人”“可以理性但不能太理性，要感性”等反馈。这说明用户并不是单纯追求娱乐化，而是希望 AI 在心理支持中保留真实对话的温度：能听懂语气，能接住情绪，能引用用户刚说过的话，而不是输出一段标准化心理教育。为此，我们设计了拟人化提示词工程。</w:t>
      </w:r>
    </w:p>
    <w:p>
      <w:r>
        <w:t>提示词工程的核心约束包括：先共情再分析、短句优先、少术语、不模板化、引用用户原话、给选择权、给微小行动。同时，拟人化必须受到安全边界限制：不能假装真人朋友持续陪伴，不能承诺治疗效果，不能替代专业人员。因此，本项目追求的是“有温度的结构化支持”，而不是无边界的情感扮演。例如，系统可以说“你刚刚说‘不想再只是被安慰’，那我们这次先一起分析发生了什么”，但不能说“我会一直陪着你、保证你没事”。</w:t>
      </w:r>
    </w:p>
    <w:p>
      <w:r>
        <w:t>`worker/src/lib/llm.ts` 是提示词工程最直接的实现文件。它把角色定义、情感兜底、交互风格、输出格式、RAG 注入和 FSM 状态串成可运行的 system prompt，所以“像人但不失控”不是前端文案，而是后端行为约束。</w:t>
      </w:r>
    </w:p>
    <w:p>
      <w:pPr>
        <w:jc w:val="center"/>
      </w:pPr>
      <w:r>
        <w:drawing>
          <wp:inline xmlns:a="http://schemas.openxmlformats.org/drawingml/2006/main" xmlns:pic="http://schemas.openxmlformats.org/drawingml/2006/picture">
            <wp:extent cx="5760720" cy="3420427"/>
            <wp:docPr id="5" name="Picture 5"/>
            <wp:cNvGraphicFramePr>
              <a:graphicFrameLocks noChangeAspect="1"/>
            </wp:cNvGraphicFramePr>
            <a:graphic>
              <a:graphicData uri="http://schemas.openxmlformats.org/drawingml/2006/picture">
                <pic:pic>
                  <pic:nvPicPr>
                    <pic:cNvPr id="0" name="figure09c_prompt_engineering.png"/>
                    <pic:cNvPicPr/>
                  </pic:nvPicPr>
                  <pic:blipFill>
                    <a:blip r:embed="rId13"/>
                    <a:stretch>
                      <a:fillRect/>
                    </a:stretch>
                  </pic:blipFill>
                  <pic:spPr>
                    <a:xfrm>
                      <a:off x="0" y="0"/>
                      <a:ext cx="5760720" cy="3420427"/>
                    </a:xfrm>
                    <a:prstGeom prst="rect"/>
                  </pic:spPr>
                </pic:pic>
              </a:graphicData>
            </a:graphic>
          </wp:inline>
        </w:drawing>
      </w:r>
    </w:p>
    <w:p>
      <w:pPr>
        <w:jc w:val="center"/>
      </w:pPr>
      <w:r>
        <w:rPr>
          <w:i/>
          <w:color w:val="555555"/>
          <w:sz w:val="18"/>
        </w:rPr>
        <w:t>Figure 5. 基于问卷反馈的拟人化提示词工程框架。</w:t>
      </w:r>
    </w:p>
    <w:p>
      <w:pPr>
        <w:pStyle w:val="Heading2"/>
      </w:pPr>
      <w:r>
        <w:t>4.7 用户记忆与隐私边界：记住，但由用户决定记到哪一步</w:t>
      </w:r>
    </w:p>
    <w:p>
      <w:r>
        <w:t>记忆设计的动机几乎是被问卷直接点出来的。开放评论里有人明确说“记住我之前说过的事”，也有人在隐私题项里更偏好“阅后即焚”或“用户可控”。这说明青少年对心理 AI 的期待并不是单向度的：他们一方面希望系统能记住上下文、减少重复解释，另一方面又非常担心聊天内容被过度留存、被别人看到、被系统“看穿”。因此，项目没有把记忆设计成“自动永久保存”，而是做成分层控制。</w:t>
      </w:r>
    </w:p>
    <w:p>
      <w:r>
        <w:t>在实现层面，`worker/src/routes/chat.ts` 会从会话中恢复 FSM 上下文，而 `worker/src/routes/onboarding.ts` 会将自由文本压缩成 `weather`、`safetyIsland` 和 `stressor` 三个初始画像维度，用于后续对话的轻量锚定。更细的长期偏好，只有在用户明确授权时才进入可复用记忆；对于高风险线索，系统只保留必要的安全判断信息，不把它们当作普通兴趣标签或个性标签长期扩散。这使系统既能接上下文，又不至于造成“被盯着看”的压迫感。</w:t>
      </w:r>
    </w:p>
    <w:p>
      <w:r>
        <w:t>从产品体验上看，记忆机制对应的是“我可以不重复说很多次”“你能接上我上次的话”，而隐私机制对应的是“我知道你记了什么，也知道我可以删掉什么”。这两个能力缺一不可。如果只有记忆，用户会担心被监视；如果只有清空，系统又会显得像没有脑子。</w:t>
      </w:r>
    </w:p>
    <w:p>
      <w:pPr>
        <w:pStyle w:val="Heading2"/>
      </w:pPr>
      <w:r>
        <w:t>4.8 状态机与风险分流：让每一类问题走不同通道</w:t>
      </w:r>
    </w:p>
    <w:p>
      <w:r>
        <w:t>项目后台最核心的行为控制层是有限状态机。`worker/src/lib/fsm.ts` 明确把对话分为 `Onboarding`、`Active_Listening`、`CBT_Stripping`、`Socratic_Questioning`、`Crisis_Escalation` 五种状态，其中 `Crisis_Escalation` 是吸收态，一旦进入不可逆退。这个设计之所以重要，是因为问卷和开放评论已经告诉我们：用户并不是每次都需要同一类回复。有时他们只想要一个温和开场，有时希望先被接住情绪，有时才需要结构化分析，有时则必须立即切安全模式。</w:t>
      </w:r>
    </w:p>
    <w:p>
      <w:r>
        <w:t>`worker/src/lib/intent-router.ts` 负责第一层意图分流，将输入分为 `casual`、`emotional`、`ambiguous`、`crisis` 四类。这一层分流不是“多此一举”，而是为了避免所有消息都进同一套 prompt：日常闲聊只需要低压力陪伴，情绪倾诉才需要进入 CBT 结构，危机场景则要直接跳过普通分析。这也是为什么报告要把“风险分流”写成独立模块，而不是只在伦理部分轻描淡写地提一句。</w:t>
      </w:r>
    </w:p>
    <w:p>
      <w:r>
        <w:t>真正的行为逻辑由 `worker/src/routes/chat.ts` 串起来：先恢复会话状态，再做意图识别，再执行 pre-transition，随后决定是否检索 RAG 知识，再把当前状态、画像、情绪信号和知识片段注入 system prompt，最后在模型回复后再做 post-transition。换句话说，系统不是‘发一个 prompt 等它回’，而是一个状态机驱动的对话编排器。</w:t>
      </w:r>
    </w:p>
    <w:p>
      <w:pPr>
        <w:pStyle w:val="Heading2"/>
      </w:pPr>
      <w:r>
        <w:t>4.9 前端低压力入口：问卷、表情包与视觉气氛不是装饰</w:t>
      </w:r>
    </w:p>
    <w:p>
      <w:r>
        <w:t>前端低压力入口的设计同样来自问卷。`web/public/survey/index.html` 对应的问卷页面本身就不是传统量表，而是让用户通过表情、偏好和选择题表达状态。问卷导出 `survey_export_2026-06-06.csv` 中，首屏偏好明显倾向于“表情包选择”和“温和寒暄”，而不是一上来就临床式评估；这说明前端必须承担“降低第一秒表达门槛”的角色。</w:t>
      </w:r>
    </w:p>
    <w:p>
      <w:r>
        <w:t>因此，前端不只是一个聊天框，而是包含情绪表情包入口、轻聊天开场、隐私感提示和低阻尼输入方式的交互界面。如果后续页面接入更丰富的情绪信号，例如摄像头表情识别或动态情绪反馈，前端的任务也不是“炫技”，而是帮助系统在用户还没开口前就感知到紧张、回避或低落的状态，从而调整入口语气。</w:t>
      </w:r>
    </w:p>
    <w:p>
      <w:pPr>
        <w:pStyle w:val="Heading2"/>
      </w:pPr>
      <w:r>
        <w:t>4.10 从草稿到成果：研发叙事如何落到文件里</w:t>
      </w:r>
    </w:p>
    <w:p>
      <w:r>
        <w:t>项目并不是一开始就长成现在这样，而是通过 `docs/development_record.md`、`ORIGINAL_REQUEST.md`、`plan.md`、`tasks.md` 这一系列记录逐渐收敛。开发早期的草稿更像是在验证：要不要做 CBT、要不要做破冰、要不要做安全熔断；后来再通过问卷、开放评论和代码迭代，把这些问题收成明确的模块。所以报告在写作上不应该只呈现“我们做了什么”，而要呈现“为什么先做这个，再做那个”。</w:t>
      </w:r>
    </w:p>
    <w:p>
      <w:r>
        <w:t>例如，先做问卷，是因为需要知道中学生到底讨厌什么；先做表情包入口，是因为文字门槛太高；先做状态机，是因为不同问题不能用同一条路径处理；先做提示词工程，是因为即使同一状态下，回复方式也需要根据问卷反馈压制套路感、增强人味。这种从草稿到成果的推进逻辑，是整个项目最值得展示的部分。</w:t>
      </w:r>
    </w:p>
    <w:p>
      <w:pPr>
        <w:pStyle w:val="Heading1"/>
      </w:pPr>
      <w:r>
        <w:t>五、系统原型与测试设计</w:t>
      </w:r>
    </w:p>
    <w:p>
      <w:r>
        <w:t>系统原型由三类材料共同构成：第一类是线上匿名问卷和数据大屏，用于开题阶段的需求研究；第二类是本地 `survey.html`，用于进一步测试低注意力状态下不同开场话术的即时反应；第三类是规则文档、RAG 知识库和验证脚本，用于证明智能体回应不是一次性文案，而是可以被约束、复核和迭代的系统。</w:t>
      </w:r>
    </w:p>
    <w:p>
      <w:r>
        <w:t>其中，线上问卷回答“用户想要什么、不想要什么”，本地开场测试回答“第一句话是否会劝退用户”，RAG 与验证脚本回答“系统能不能安全稳定地工作”。三者共同构成从用户研究到工程验证的闭环。报告中将它们分别作为需求证据、交互证据和技术证据。</w:t>
      </w:r>
    </w:p>
    <w:p>
      <w:pPr>
        <w:pStyle w:val="Heading1"/>
      </w:pPr>
      <w:r>
        <w:t>六、典型应用案例</w:t>
      </w:r>
    </w:p>
    <w:p>
      <w:pPr>
        <w:pStyle w:val="Heading2"/>
      </w:pPr>
      <w:r>
        <w:t>6.1 考试压力场景</w:t>
      </w:r>
    </w:p>
    <w:p>
      <w:r>
        <w:t>用户输入：“因为英语听写错了 6 个单词，我就觉得自己彻底不行了，好像只要不是做得最好就是全盘失败。”</w:t>
      </w:r>
    </w:p>
    <w:tbl>
      <w:tblPr>
        <w:tblStyle w:val="TableGrid"/>
        <w:tblW w:type="auto" w:w="0"/>
        <w:jc w:val="center"/>
        <w:tblLook w:firstColumn="1" w:firstRow="1" w:lastColumn="0" w:lastRow="0" w:noHBand="0" w:noVBand="1" w:val="04A0"/>
      </w:tblPr>
      <w:tblGrid>
        <w:gridCol w:w="4680"/>
        <w:gridCol w:w="4680"/>
      </w:tblGrid>
      <w:tr>
        <w:tc>
          <w:tcPr>
            <w:tcW w:type="dxa" w:w="2160"/>
            <w:shd w:fill="E8EEF5"/>
            <w:tcMar>
              <w:top w:w="80" w:type="dxa"/>
              <w:start w:w="120" w:type="dxa"/>
              <w:bottom w:w="80" w:type="dxa"/>
              <w:end w:w="120" w:type="dxa"/>
            </w:tcMar>
            <w:vAlign w:val="center"/>
          </w:tcPr>
          <w:p>
            <w:r>
              <w:rPr>
                <w:rFonts w:ascii="Calibri" w:hAnsi="Calibri" w:eastAsia="黑体"/>
                <w:b/>
              </w:rPr>
              <w:t>处理项</w:t>
            </w:r>
          </w:p>
        </w:tc>
        <w:tc>
          <w:tcPr>
            <w:tcW w:type="dxa" w:w="6768"/>
            <w:shd w:fill="E8EEF5"/>
            <w:tcMar>
              <w:top w:w="80" w:type="dxa"/>
              <w:start w:w="120" w:type="dxa"/>
              <w:bottom w:w="80" w:type="dxa"/>
              <w:end w:w="120" w:type="dxa"/>
            </w:tcMar>
            <w:vAlign w:val="center"/>
          </w:tcPr>
          <w:p>
            <w:r>
              <w:rPr>
                <w:rFonts w:ascii="Calibri" w:hAnsi="Calibri" w:eastAsia="黑体"/>
                <w:b/>
              </w:rPr>
              <w:t>系统输出</w:t>
            </w:r>
          </w:p>
        </w:tc>
      </w:tr>
      <w:tr>
        <w:tc>
          <w:tcPr>
            <w:tcW w:type="dxa" w:w="2160"/>
            <w:tcMar>
              <w:top w:w="80" w:type="dxa"/>
              <w:start w:w="120" w:type="dxa"/>
              <w:bottom w:w="80" w:type="dxa"/>
              <w:end w:w="120" w:type="dxa"/>
            </w:tcMar>
            <w:vAlign w:val="center"/>
          </w:tcPr>
          <w:p>
            <w:r>
              <w:t>A 诱发事件</w:t>
            </w:r>
          </w:p>
        </w:tc>
        <w:tc>
          <w:tcPr>
            <w:tcW w:type="dxa" w:w="6768"/>
            <w:tcMar>
              <w:top w:w="80" w:type="dxa"/>
              <w:start w:w="120" w:type="dxa"/>
              <w:bottom w:w="80" w:type="dxa"/>
              <w:end w:w="120" w:type="dxa"/>
            </w:tcMar>
            <w:vAlign w:val="center"/>
          </w:tcPr>
          <w:p>
            <w:r>
              <w:t>周五英语听写后，老师公布用户错了6个单词。</w:t>
            </w:r>
          </w:p>
        </w:tc>
      </w:tr>
      <w:tr>
        <w:tc>
          <w:tcPr>
            <w:tcW w:type="dxa" w:w="2160"/>
            <w:tcMar>
              <w:top w:w="80" w:type="dxa"/>
              <w:start w:w="120" w:type="dxa"/>
              <w:bottom w:w="80" w:type="dxa"/>
              <w:end w:w="120" w:type="dxa"/>
            </w:tcMar>
            <w:vAlign w:val="center"/>
          </w:tcPr>
          <w:p>
            <w:r>
              <w:t>B 信念解释</w:t>
            </w:r>
          </w:p>
        </w:tc>
        <w:tc>
          <w:tcPr>
            <w:tcW w:type="dxa" w:w="6768"/>
            <w:tcMar>
              <w:top w:w="80" w:type="dxa"/>
              <w:start w:w="120" w:type="dxa"/>
              <w:bottom w:w="80" w:type="dxa"/>
              <w:end w:w="120" w:type="dxa"/>
            </w:tcMar>
            <w:vAlign w:val="center"/>
          </w:tcPr>
          <w:p>
            <w:r>
              <w:t>用户把一次听写错误解释为整体失败。</w:t>
            </w:r>
          </w:p>
        </w:tc>
      </w:tr>
      <w:tr>
        <w:tc>
          <w:tcPr>
            <w:tcW w:type="dxa" w:w="2160"/>
            <w:tcMar>
              <w:top w:w="80" w:type="dxa"/>
              <w:start w:w="120" w:type="dxa"/>
              <w:bottom w:w="80" w:type="dxa"/>
              <w:end w:w="120" w:type="dxa"/>
            </w:tcMar>
            <w:vAlign w:val="center"/>
          </w:tcPr>
          <w:p>
            <w:r>
              <w:t>C 情绪行为</w:t>
            </w:r>
          </w:p>
        </w:tc>
        <w:tc>
          <w:tcPr>
            <w:tcW w:type="dxa" w:w="6768"/>
            <w:tcMar>
              <w:top w:w="80" w:type="dxa"/>
              <w:start w:w="120" w:type="dxa"/>
              <w:bottom w:w="80" w:type="dxa"/>
              <w:end w:w="120" w:type="dxa"/>
            </w:tcMar>
            <w:vAlign w:val="center"/>
          </w:tcPr>
          <w:p>
            <w:r>
              <w:t>紧张、羞愧、担心，可能拖延背词。</w:t>
            </w:r>
          </w:p>
        </w:tc>
      </w:tr>
      <w:tr>
        <w:tc>
          <w:tcPr>
            <w:tcW w:type="dxa" w:w="2160"/>
            <w:tcMar>
              <w:top w:w="80" w:type="dxa"/>
              <w:start w:w="120" w:type="dxa"/>
              <w:bottom w:w="80" w:type="dxa"/>
              <w:end w:w="120" w:type="dxa"/>
            </w:tcMar>
            <w:vAlign w:val="center"/>
          </w:tcPr>
          <w:p>
            <w:r>
              <w:t>认知偏差</w:t>
            </w:r>
          </w:p>
        </w:tc>
        <w:tc>
          <w:tcPr>
            <w:tcW w:type="dxa" w:w="6768"/>
            <w:tcMar>
              <w:top w:w="80" w:type="dxa"/>
              <w:start w:w="120" w:type="dxa"/>
              <w:bottom w:w="80" w:type="dxa"/>
              <w:end w:w="120" w:type="dxa"/>
            </w:tcMar>
            <w:vAlign w:val="center"/>
          </w:tcPr>
          <w:p>
            <w:r>
              <w:t>非黑即白。</w:t>
            </w:r>
          </w:p>
        </w:tc>
      </w:tr>
      <w:tr>
        <w:tc>
          <w:tcPr>
            <w:tcW w:type="dxa" w:w="2160"/>
            <w:tcMar>
              <w:top w:w="80" w:type="dxa"/>
              <w:start w:w="120" w:type="dxa"/>
              <w:bottom w:w="80" w:type="dxa"/>
              <w:end w:w="120" w:type="dxa"/>
            </w:tcMar>
            <w:vAlign w:val="center"/>
          </w:tcPr>
          <w:p>
            <w:r>
              <w:t>下一步行动</w:t>
            </w:r>
          </w:p>
        </w:tc>
        <w:tc>
          <w:tcPr>
            <w:tcW w:type="dxa" w:w="6768"/>
            <w:tcMar>
              <w:top w:w="80" w:type="dxa"/>
              <w:start w:w="120" w:type="dxa"/>
              <w:bottom w:w="80" w:type="dxa"/>
              <w:end w:w="120" w:type="dxa"/>
            </w:tcMar>
            <w:vAlign w:val="center"/>
          </w:tcPr>
          <w:p>
            <w:r>
              <w:t>把6个错词分成拼写、发音、词义三类，今天先复习其中一类。</w:t>
            </w:r>
          </w:p>
        </w:tc>
      </w:tr>
    </w:tbl>
    <w:p/>
    <w:p>
      <w:pPr>
        <w:pStyle w:val="Heading2"/>
      </w:pPr>
      <w:r>
        <w:t>6.2 同伴关系场景</w:t>
      </w:r>
    </w:p>
    <w:p>
      <w:r>
        <w:t>用户输入：“我回答问题时同桌笑了一下，他肯定觉得我很蠢。”</w:t>
      </w:r>
    </w:p>
    <w:tbl>
      <w:tblPr>
        <w:tblStyle w:val="TableGrid"/>
        <w:tblW w:type="auto" w:w="0"/>
        <w:jc w:val="center"/>
        <w:tblLook w:firstColumn="1" w:firstRow="1" w:lastColumn="0" w:lastRow="0" w:noHBand="0" w:noVBand="1" w:val="04A0"/>
      </w:tblPr>
      <w:tblGrid>
        <w:gridCol w:w="4680"/>
        <w:gridCol w:w="4680"/>
      </w:tblGrid>
      <w:tr>
        <w:tc>
          <w:tcPr>
            <w:tcW w:type="dxa" w:w="2160"/>
            <w:shd w:fill="E8EEF5"/>
            <w:tcMar>
              <w:top w:w="80" w:type="dxa"/>
              <w:start w:w="120" w:type="dxa"/>
              <w:bottom w:w="80" w:type="dxa"/>
              <w:end w:w="120" w:type="dxa"/>
            </w:tcMar>
            <w:vAlign w:val="center"/>
          </w:tcPr>
          <w:p>
            <w:r>
              <w:rPr>
                <w:rFonts w:ascii="Calibri" w:hAnsi="Calibri" w:eastAsia="黑体"/>
                <w:b/>
              </w:rPr>
              <w:t>处理项</w:t>
            </w:r>
          </w:p>
        </w:tc>
        <w:tc>
          <w:tcPr>
            <w:tcW w:type="dxa" w:w="6768"/>
            <w:shd w:fill="E8EEF5"/>
            <w:tcMar>
              <w:top w:w="80" w:type="dxa"/>
              <w:start w:w="120" w:type="dxa"/>
              <w:bottom w:w="80" w:type="dxa"/>
              <w:end w:w="120" w:type="dxa"/>
            </w:tcMar>
            <w:vAlign w:val="center"/>
          </w:tcPr>
          <w:p>
            <w:r>
              <w:rPr>
                <w:rFonts w:ascii="Calibri" w:hAnsi="Calibri" w:eastAsia="黑体"/>
                <w:b/>
              </w:rPr>
              <w:t>系统输出</w:t>
            </w:r>
          </w:p>
        </w:tc>
      </w:tr>
      <w:tr>
        <w:tc>
          <w:tcPr>
            <w:tcW w:type="dxa" w:w="2160"/>
            <w:tcMar>
              <w:top w:w="80" w:type="dxa"/>
              <w:start w:w="120" w:type="dxa"/>
              <w:bottom w:w="80" w:type="dxa"/>
              <w:end w:w="120" w:type="dxa"/>
            </w:tcMar>
            <w:vAlign w:val="center"/>
          </w:tcPr>
          <w:p>
            <w:r>
              <w:t>A 诱发事件</w:t>
            </w:r>
          </w:p>
        </w:tc>
        <w:tc>
          <w:tcPr>
            <w:tcW w:type="dxa" w:w="6768"/>
            <w:tcMar>
              <w:top w:w="80" w:type="dxa"/>
              <w:start w:w="120" w:type="dxa"/>
              <w:bottom w:w="80" w:type="dxa"/>
              <w:end w:w="120" w:type="dxa"/>
            </w:tcMar>
            <w:vAlign w:val="center"/>
          </w:tcPr>
          <w:p>
            <w:r>
              <w:t>课堂上，用户回答问题时，同桌笑了一下。</w:t>
            </w:r>
          </w:p>
        </w:tc>
      </w:tr>
      <w:tr>
        <w:tc>
          <w:tcPr>
            <w:tcW w:type="dxa" w:w="2160"/>
            <w:tcMar>
              <w:top w:w="80" w:type="dxa"/>
              <w:start w:w="120" w:type="dxa"/>
              <w:bottom w:w="80" w:type="dxa"/>
              <w:end w:w="120" w:type="dxa"/>
            </w:tcMar>
            <w:vAlign w:val="center"/>
          </w:tcPr>
          <w:p>
            <w:r>
              <w:t>B 信念解释</w:t>
            </w:r>
          </w:p>
        </w:tc>
        <w:tc>
          <w:tcPr>
            <w:tcW w:type="dxa" w:w="6768"/>
            <w:tcMar>
              <w:top w:w="80" w:type="dxa"/>
              <w:start w:w="120" w:type="dxa"/>
              <w:bottom w:w="80" w:type="dxa"/>
              <w:end w:w="120" w:type="dxa"/>
            </w:tcMar>
            <w:vAlign w:val="center"/>
          </w:tcPr>
          <w:p>
            <w:r>
              <w:t>用户把“同桌笑了一下”解释为“他觉得我很蠢”。</w:t>
            </w:r>
          </w:p>
        </w:tc>
      </w:tr>
      <w:tr>
        <w:tc>
          <w:tcPr>
            <w:tcW w:type="dxa" w:w="2160"/>
            <w:tcMar>
              <w:top w:w="80" w:type="dxa"/>
              <w:start w:w="120" w:type="dxa"/>
              <w:bottom w:w="80" w:type="dxa"/>
              <w:end w:w="120" w:type="dxa"/>
            </w:tcMar>
            <w:vAlign w:val="center"/>
          </w:tcPr>
          <w:p>
            <w:r>
              <w:t>C 情绪行为</w:t>
            </w:r>
          </w:p>
        </w:tc>
        <w:tc>
          <w:tcPr>
            <w:tcW w:type="dxa" w:w="6768"/>
            <w:tcMar>
              <w:top w:w="80" w:type="dxa"/>
              <w:start w:w="120" w:type="dxa"/>
              <w:bottom w:w="80" w:type="dxa"/>
              <w:end w:w="120" w:type="dxa"/>
            </w:tcMar>
            <w:vAlign w:val="center"/>
          </w:tcPr>
          <w:p>
            <w:r>
              <w:t>尴尬、紧张、羞耻，可能不再主动回答问题。</w:t>
            </w:r>
          </w:p>
        </w:tc>
      </w:tr>
      <w:tr>
        <w:tc>
          <w:tcPr>
            <w:tcW w:type="dxa" w:w="2160"/>
            <w:tcMar>
              <w:top w:w="80" w:type="dxa"/>
              <w:start w:w="120" w:type="dxa"/>
              <w:bottom w:w="80" w:type="dxa"/>
              <w:end w:w="120" w:type="dxa"/>
            </w:tcMar>
            <w:vAlign w:val="center"/>
          </w:tcPr>
          <w:p>
            <w:r>
              <w:t>认知偏差</w:t>
            </w:r>
          </w:p>
        </w:tc>
        <w:tc>
          <w:tcPr>
            <w:tcW w:type="dxa" w:w="6768"/>
            <w:tcMar>
              <w:top w:w="80" w:type="dxa"/>
              <w:start w:w="120" w:type="dxa"/>
              <w:bottom w:w="80" w:type="dxa"/>
              <w:end w:w="120" w:type="dxa"/>
            </w:tcMar>
            <w:vAlign w:val="center"/>
          </w:tcPr>
          <w:p>
            <w:r>
              <w:t>读心术。</w:t>
            </w:r>
          </w:p>
        </w:tc>
      </w:tr>
      <w:tr>
        <w:tc>
          <w:tcPr>
            <w:tcW w:type="dxa" w:w="2160"/>
            <w:tcMar>
              <w:top w:w="80" w:type="dxa"/>
              <w:start w:w="120" w:type="dxa"/>
              <w:bottom w:w="80" w:type="dxa"/>
              <w:end w:w="120" w:type="dxa"/>
            </w:tcMar>
            <w:vAlign w:val="center"/>
          </w:tcPr>
          <w:p>
            <w:r>
              <w:t>下一步行动</w:t>
            </w:r>
          </w:p>
        </w:tc>
        <w:tc>
          <w:tcPr>
            <w:tcW w:type="dxa" w:w="6768"/>
            <w:tcMar>
              <w:top w:w="80" w:type="dxa"/>
              <w:start w:w="120" w:type="dxa"/>
              <w:bottom w:w="80" w:type="dxa"/>
              <w:end w:w="120" w:type="dxa"/>
            </w:tcMar>
            <w:vAlign w:val="center"/>
          </w:tcPr>
          <w:p>
            <w:r>
              <w:t>记录还有哪些解释也可能说明“同桌笑了一下”，再决定是否需要沟通。</w:t>
            </w:r>
          </w:p>
        </w:tc>
      </w:tr>
    </w:tbl>
    <w:p/>
    <w:p>
      <w:pPr>
        <w:pStyle w:val="Heading2"/>
      </w:pPr>
      <w:r>
        <w:t>6.3 危机风险场景</w:t>
      </w:r>
    </w:p>
    <w:p>
      <w:r>
        <w:t>若用户表达“我真的撑不下去了，不想活了”，系统不进入普通 CBT 事实剥离，也不把该表达简单解释为灾难化思维；系统优先确认当前安全状态，建议联系身边可信成年人、学校老师、心理老师、专业人员或当地紧急资源。</w:t>
      </w:r>
    </w:p>
    <w:p>
      <w:pPr>
        <w:pStyle w:val="Heading1"/>
      </w:pPr>
      <w:r>
        <w:t>七、创新点</w:t>
      </w:r>
    </w:p>
    <w:p>
      <w:r>
        <w:t>本项目的创新并不体现在单一算法名称上，而体现在心理学结构、青少年交互偏好和 AI 安全治理三者的组合。多数通用聊天机器人可以回应情绪，但不一定能稳定区分事实和解释；部分心理问答工具可以给出建议，但容易变成量表式盘问；而本项目试图在低压力进入、结构化心理支持和安全可追溯之间建立平衡。</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E8EEF5"/>
            <w:tcMar>
              <w:top w:w="80" w:type="dxa"/>
              <w:start w:w="120" w:type="dxa"/>
              <w:bottom w:w="80" w:type="dxa"/>
              <w:end w:w="120" w:type="dxa"/>
            </w:tcMar>
            <w:vAlign w:val="center"/>
          </w:tcPr>
          <w:p>
            <w:r>
              <w:rPr>
                <w:rFonts w:ascii="Calibri" w:hAnsi="Calibri" w:eastAsia="黑体"/>
                <w:b/>
              </w:rPr>
              <w:t>创新点</w:t>
            </w:r>
          </w:p>
        </w:tc>
        <w:tc>
          <w:tcPr>
            <w:tcW w:type="dxa" w:w="2880"/>
            <w:shd w:fill="E8EEF5"/>
            <w:tcMar>
              <w:top w:w="80" w:type="dxa"/>
              <w:start w:w="120" w:type="dxa"/>
              <w:bottom w:w="80" w:type="dxa"/>
              <w:end w:w="120" w:type="dxa"/>
            </w:tcMar>
            <w:vAlign w:val="center"/>
          </w:tcPr>
          <w:p>
            <w:r>
              <w:rPr>
                <w:rFonts w:ascii="Calibri" w:hAnsi="Calibri" w:eastAsia="黑体"/>
                <w:b/>
              </w:rPr>
              <w:t>传统做法的不足</w:t>
            </w:r>
          </w:p>
        </w:tc>
        <w:tc>
          <w:tcPr>
            <w:tcW w:type="dxa" w:w="2880"/>
            <w:shd w:fill="E8EEF5"/>
            <w:tcMar>
              <w:top w:w="80" w:type="dxa"/>
              <w:start w:w="120" w:type="dxa"/>
              <w:bottom w:w="80" w:type="dxa"/>
              <w:end w:w="120" w:type="dxa"/>
            </w:tcMar>
            <w:vAlign w:val="center"/>
          </w:tcPr>
          <w:p>
            <w:r>
              <w:rPr>
                <w:rFonts w:ascii="Calibri" w:hAnsi="Calibri" w:eastAsia="黑体"/>
                <w:b/>
              </w:rPr>
              <w:t>本项目做法</w:t>
            </w:r>
          </w:p>
        </w:tc>
        <w:tc>
          <w:tcPr>
            <w:tcW w:type="dxa" w:w="2448"/>
            <w:shd w:fill="E8EEF5"/>
            <w:tcMar>
              <w:top w:w="80" w:type="dxa"/>
              <w:start w:w="120" w:type="dxa"/>
              <w:bottom w:w="80" w:type="dxa"/>
              <w:end w:w="120" w:type="dxa"/>
            </w:tcMar>
            <w:vAlign w:val="center"/>
          </w:tcPr>
          <w:p>
            <w:r>
              <w:rPr>
                <w:rFonts w:ascii="Calibri" w:hAnsi="Calibri" w:eastAsia="黑体"/>
                <w:b/>
              </w:rPr>
              <w:t>预期价值</w:t>
            </w:r>
          </w:p>
        </w:tc>
      </w:tr>
      <w:tr>
        <w:tc>
          <w:tcPr>
            <w:tcW w:type="dxa" w:w="1872"/>
            <w:tcMar>
              <w:top w:w="80" w:type="dxa"/>
              <w:start w:w="120" w:type="dxa"/>
              <w:bottom w:w="80" w:type="dxa"/>
              <w:end w:w="120" w:type="dxa"/>
            </w:tcMar>
            <w:vAlign w:val="center"/>
          </w:tcPr>
          <w:p>
            <w:r>
              <w:t>事实与情绪剥离</w:t>
            </w:r>
          </w:p>
        </w:tc>
        <w:tc>
          <w:tcPr>
            <w:tcW w:type="dxa" w:w="2880"/>
            <w:tcMar>
              <w:top w:w="80" w:type="dxa"/>
              <w:start w:w="120" w:type="dxa"/>
              <w:bottom w:w="80" w:type="dxa"/>
              <w:end w:w="120" w:type="dxa"/>
            </w:tcMar>
            <w:vAlign w:val="center"/>
          </w:tcPr>
          <w:p>
            <w:r>
              <w:t>直接安慰或直接反驳，容易忽视事实-解释混杂。</w:t>
            </w:r>
          </w:p>
        </w:tc>
        <w:tc>
          <w:tcPr>
            <w:tcW w:type="dxa" w:w="2880"/>
            <w:tcMar>
              <w:top w:w="80" w:type="dxa"/>
              <w:start w:w="120" w:type="dxa"/>
              <w:bottom w:w="80" w:type="dxa"/>
              <w:end w:w="120" w:type="dxa"/>
            </w:tcMar>
            <w:vAlign w:val="center"/>
          </w:tcPr>
          <w:p>
            <w:r>
              <w:t>用 ABC 和监控摄像头标准拆解倾诉。</w:t>
            </w:r>
          </w:p>
        </w:tc>
        <w:tc>
          <w:tcPr>
            <w:tcW w:type="dxa" w:w="2448"/>
            <w:tcMar>
              <w:top w:w="80" w:type="dxa"/>
              <w:start w:w="120" w:type="dxa"/>
              <w:bottom w:w="80" w:type="dxa"/>
              <w:end w:w="120" w:type="dxa"/>
            </w:tcMar>
            <w:vAlign w:val="center"/>
          </w:tcPr>
          <w:p>
            <w:r>
              <w:t>降低认知偏差放大，提升解释清晰度。</w:t>
            </w:r>
          </w:p>
        </w:tc>
      </w:tr>
      <w:tr>
        <w:tc>
          <w:tcPr>
            <w:tcW w:type="dxa" w:w="1872"/>
            <w:tcMar>
              <w:top w:w="80" w:type="dxa"/>
              <w:start w:w="120" w:type="dxa"/>
              <w:bottom w:w="80" w:type="dxa"/>
              <w:end w:w="120" w:type="dxa"/>
            </w:tcMar>
            <w:vAlign w:val="center"/>
          </w:tcPr>
          <w:p>
            <w:r>
              <w:t>青少年偏好驱动</w:t>
            </w:r>
          </w:p>
        </w:tc>
        <w:tc>
          <w:tcPr>
            <w:tcW w:type="dxa" w:w="2880"/>
            <w:tcMar>
              <w:top w:w="80" w:type="dxa"/>
              <w:start w:w="120" w:type="dxa"/>
              <w:bottom w:w="80" w:type="dxa"/>
              <w:end w:w="120" w:type="dxa"/>
            </w:tcMar>
            <w:vAlign w:val="center"/>
          </w:tcPr>
          <w:p>
            <w:r>
              <w:t>先设计产品再让用户适应。</w:t>
            </w:r>
          </w:p>
        </w:tc>
        <w:tc>
          <w:tcPr>
            <w:tcW w:type="dxa" w:w="2880"/>
            <w:tcMar>
              <w:top w:w="80" w:type="dxa"/>
              <w:start w:w="120" w:type="dxa"/>
              <w:bottom w:w="80" w:type="dxa"/>
              <w:end w:w="120" w:type="dxa"/>
            </w:tcMar>
            <w:vAlign w:val="center"/>
          </w:tcPr>
          <w:p>
            <w:r>
              <w:t>用问卷和大屏反推首屏、角色和隐私控制。</w:t>
            </w:r>
          </w:p>
        </w:tc>
        <w:tc>
          <w:tcPr>
            <w:tcW w:type="dxa" w:w="2448"/>
            <w:tcMar>
              <w:top w:w="80" w:type="dxa"/>
              <w:start w:w="120" w:type="dxa"/>
              <w:bottom w:w="80" w:type="dxa"/>
              <w:end w:w="120" w:type="dxa"/>
            </w:tcMar>
            <w:vAlign w:val="center"/>
          </w:tcPr>
          <w:p>
            <w:r>
              <w:t>提升进入意愿和真实使用贴合度。</w:t>
            </w:r>
          </w:p>
        </w:tc>
      </w:tr>
      <w:tr>
        <w:tc>
          <w:tcPr>
            <w:tcW w:type="dxa" w:w="1872"/>
            <w:tcMar>
              <w:top w:w="80" w:type="dxa"/>
              <w:start w:w="120" w:type="dxa"/>
              <w:bottom w:w="80" w:type="dxa"/>
              <w:end w:w="120" w:type="dxa"/>
            </w:tcMar>
            <w:vAlign w:val="center"/>
          </w:tcPr>
          <w:p>
            <w:r>
              <w:t>安全优先 RAG</w:t>
            </w:r>
          </w:p>
        </w:tc>
        <w:tc>
          <w:tcPr>
            <w:tcW w:type="dxa" w:w="2880"/>
            <w:tcMar>
              <w:top w:w="80" w:type="dxa"/>
              <w:start w:w="120" w:type="dxa"/>
              <w:bottom w:w="80" w:type="dxa"/>
              <w:end w:w="120" w:type="dxa"/>
            </w:tcMar>
            <w:vAlign w:val="center"/>
          </w:tcPr>
          <w:p>
            <w:r>
              <w:t>所有场景使用同一套陪聊逻辑。</w:t>
            </w:r>
          </w:p>
        </w:tc>
        <w:tc>
          <w:tcPr>
            <w:tcW w:type="dxa" w:w="2880"/>
            <w:tcMar>
              <w:top w:w="80" w:type="dxa"/>
              <w:start w:w="120" w:type="dxa"/>
              <w:bottom w:w="80" w:type="dxa"/>
              <w:end w:w="120" w:type="dxa"/>
            </w:tcMar>
            <w:vAlign w:val="center"/>
          </w:tcPr>
          <w:p>
            <w:r>
              <w:t>危机场景覆盖普通 CBT，优先现实求助。</w:t>
            </w:r>
          </w:p>
        </w:tc>
        <w:tc>
          <w:tcPr>
            <w:tcW w:type="dxa" w:w="2448"/>
            <w:tcMar>
              <w:top w:w="80" w:type="dxa"/>
              <w:start w:w="120" w:type="dxa"/>
              <w:bottom w:w="80" w:type="dxa"/>
              <w:end w:w="120" w:type="dxa"/>
            </w:tcMar>
            <w:vAlign w:val="center"/>
          </w:tcPr>
          <w:p>
            <w:r>
              <w:t>降低高风险场景误导。</w:t>
            </w:r>
          </w:p>
        </w:tc>
      </w:tr>
      <w:tr>
        <w:tc>
          <w:tcPr>
            <w:tcW w:type="dxa" w:w="1872"/>
            <w:tcMar>
              <w:top w:w="80" w:type="dxa"/>
              <w:start w:w="120" w:type="dxa"/>
              <w:bottom w:w="80" w:type="dxa"/>
              <w:end w:w="120" w:type="dxa"/>
            </w:tcMar>
            <w:vAlign w:val="center"/>
          </w:tcPr>
          <w:p>
            <w:r>
              <w:t>来源分层治理</w:t>
            </w:r>
          </w:p>
        </w:tc>
        <w:tc>
          <w:tcPr>
            <w:tcW w:type="dxa" w:w="2880"/>
            <w:tcMar>
              <w:top w:w="80" w:type="dxa"/>
              <w:start w:w="120" w:type="dxa"/>
              <w:bottom w:w="80" w:type="dxa"/>
              <w:end w:w="120" w:type="dxa"/>
            </w:tcMar>
            <w:vAlign w:val="center"/>
          </w:tcPr>
          <w:p>
            <w:r>
              <w:t>资料混杂，案例真假不清。</w:t>
            </w:r>
          </w:p>
        </w:tc>
        <w:tc>
          <w:tcPr>
            <w:tcW w:type="dxa" w:w="2880"/>
            <w:tcMar>
              <w:top w:w="80" w:type="dxa"/>
              <w:start w:w="120" w:type="dxa"/>
              <w:bottom w:w="80" w:type="dxa"/>
              <w:end w:w="120" w:type="dxa"/>
            </w:tcMar>
            <w:vAlign w:val="center"/>
          </w:tcPr>
          <w:p>
            <w:r>
              <w:t>区分权威指南、政策、理论和合成示例。</w:t>
            </w:r>
          </w:p>
        </w:tc>
        <w:tc>
          <w:tcPr>
            <w:tcW w:type="dxa" w:w="2448"/>
            <w:tcMar>
              <w:top w:w="80" w:type="dxa"/>
              <w:start w:w="120" w:type="dxa"/>
              <w:bottom w:w="80" w:type="dxa"/>
              <w:end w:w="120" w:type="dxa"/>
            </w:tcMar>
            <w:vAlign w:val="center"/>
          </w:tcPr>
          <w:p>
            <w:r>
              <w:t>提高专业可信度和可核验性。</w:t>
            </w:r>
          </w:p>
        </w:tc>
      </w:tr>
      <w:tr>
        <w:tc>
          <w:tcPr>
            <w:tcW w:type="dxa" w:w="1872"/>
            <w:tcMar>
              <w:top w:w="80" w:type="dxa"/>
              <w:start w:w="120" w:type="dxa"/>
              <w:bottom w:w="80" w:type="dxa"/>
              <w:end w:w="120" w:type="dxa"/>
            </w:tcMar>
            <w:vAlign w:val="center"/>
          </w:tcPr>
          <w:p>
            <w:r>
              <w:t>过程可验证</w:t>
            </w:r>
          </w:p>
        </w:tc>
        <w:tc>
          <w:tcPr>
            <w:tcW w:type="dxa" w:w="2880"/>
            <w:tcMar>
              <w:top w:w="80" w:type="dxa"/>
              <w:start w:w="120" w:type="dxa"/>
              <w:bottom w:w="80" w:type="dxa"/>
              <w:end w:w="120" w:type="dxa"/>
            </w:tcMar>
            <w:vAlign w:val="center"/>
          </w:tcPr>
          <w:p>
            <w:r>
              <w:t>只展示最终效果。</w:t>
            </w:r>
          </w:p>
        </w:tc>
        <w:tc>
          <w:tcPr>
            <w:tcW w:type="dxa" w:w="2880"/>
            <w:tcMar>
              <w:top w:w="80" w:type="dxa"/>
              <w:start w:w="120" w:type="dxa"/>
              <w:bottom w:w="80" w:type="dxa"/>
              <w:end w:w="120" w:type="dxa"/>
            </w:tcMar>
            <w:vAlign w:val="center"/>
          </w:tcPr>
          <w:p>
            <w:r>
              <w:t>保留问卷、规则、知识库、脚本、截图和视频链路。</w:t>
            </w:r>
          </w:p>
        </w:tc>
        <w:tc>
          <w:tcPr>
            <w:tcW w:type="dxa" w:w="2448"/>
            <w:tcMar>
              <w:top w:w="80" w:type="dxa"/>
              <w:start w:w="120" w:type="dxa"/>
              <w:bottom w:w="80" w:type="dxa"/>
              <w:end w:w="120" w:type="dxa"/>
            </w:tcMar>
            <w:vAlign w:val="center"/>
          </w:tcPr>
          <w:p>
            <w:r>
              <w:t>方便评审复核项目真实性。</w:t>
            </w:r>
          </w:p>
        </w:tc>
      </w:tr>
    </w:tbl>
    <w:p/>
    <w:p>
      <w:pPr>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figure14_validation_chain.png"/>
                    <pic:cNvPicPr/>
                  </pic:nvPicPr>
                  <pic:blipFill>
                    <a:blip r:embed="rId14"/>
                    <a:stretch>
                      <a:fillRect/>
                    </a:stretch>
                  </pic:blipFill>
                  <pic:spPr>
                    <a:xfrm>
                      <a:off x="0" y="0"/>
                      <a:ext cx="5760720" cy="3240405"/>
                    </a:xfrm>
                    <a:prstGeom prst="rect"/>
                  </pic:spPr>
                </pic:pic>
              </a:graphicData>
            </a:graphic>
          </wp:inline>
        </w:drawing>
      </w:r>
    </w:p>
    <w:p>
      <w:pPr>
        <w:jc w:val="center"/>
      </w:pPr>
      <w:r>
        <w:rPr>
          <w:i/>
          <w:color w:val="555555"/>
          <w:sz w:val="18"/>
        </w:rPr>
        <w:t>Figure 6. 从用户证据到系统成果的可验证链路。</w:t>
      </w:r>
    </w:p>
    <w:p>
      <w:pPr>
        <w:pStyle w:val="Heading1"/>
      </w:pPr>
      <w:r>
        <w:t>八、验证方案与质量控制</w:t>
      </w:r>
    </w:p>
    <w:p>
      <w:r>
        <w:t>验证方案分为功能验证、知识库验证和材料验证三类。功能验证检查系统能否执行事实剥离、认知偏差识别、风险路由和安全回应；知识库验证检查字段完整性、来源可追溯和合成示例标注；材料验证检查过程截图、视频链接、PDF 格式和查重报告。</w:t>
      </w:r>
    </w:p>
    <w:p>
      <w:r>
        <w:t>为了避免验证停留在主观描述层面，本项目把测试对象拆成六类输入：日常闲聊、普通学业压力、同伴误解、家长期待、危机风险和来源追溯。每类输入都对应不同预期行为。比如日常闲聊不能被强行心理分析；同伴误解必须标注读心术而不能认同推测；危机风险必须跳过普通 CBT；来源追溯必须能说明知识依据。只有这些场景都能通过，才能说明系统不是单次样例可行，而是在规则约束下具有稳定性。</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E8EEF5"/>
            <w:tcMar>
              <w:top w:w="80" w:type="dxa"/>
              <w:start w:w="120" w:type="dxa"/>
              <w:bottom w:w="80" w:type="dxa"/>
              <w:end w:w="120" w:type="dxa"/>
            </w:tcMar>
            <w:vAlign w:val="center"/>
          </w:tcPr>
          <w:p>
            <w:r>
              <w:rPr>
                <w:rFonts w:ascii="Calibri" w:hAnsi="Calibri" w:eastAsia="黑体"/>
                <w:b/>
              </w:rPr>
              <w:t>测试编号</w:t>
            </w:r>
          </w:p>
        </w:tc>
        <w:tc>
          <w:tcPr>
            <w:tcW w:type="dxa" w:w="2880"/>
            <w:shd w:fill="E8EEF5"/>
            <w:tcMar>
              <w:top w:w="80" w:type="dxa"/>
              <w:start w:w="120" w:type="dxa"/>
              <w:bottom w:w="80" w:type="dxa"/>
              <w:end w:w="120" w:type="dxa"/>
            </w:tcMar>
            <w:vAlign w:val="center"/>
          </w:tcPr>
          <w:p>
            <w:r>
              <w:rPr>
                <w:rFonts w:ascii="Calibri" w:hAnsi="Calibri" w:eastAsia="黑体"/>
                <w:b/>
              </w:rPr>
              <w:t>输入类型</w:t>
            </w:r>
          </w:p>
        </w:tc>
        <w:tc>
          <w:tcPr>
            <w:tcW w:type="dxa" w:w="4608"/>
            <w:shd w:fill="E8EEF5"/>
            <w:tcMar>
              <w:top w:w="80" w:type="dxa"/>
              <w:start w:w="120" w:type="dxa"/>
              <w:bottom w:w="80" w:type="dxa"/>
              <w:end w:w="120" w:type="dxa"/>
            </w:tcMar>
            <w:vAlign w:val="center"/>
          </w:tcPr>
          <w:p>
            <w:r>
              <w:rPr>
                <w:rFonts w:ascii="Calibri" w:hAnsi="Calibri" w:eastAsia="黑体"/>
                <w:b/>
              </w:rPr>
              <w:t>预期输出</w:t>
            </w:r>
          </w:p>
        </w:tc>
      </w:tr>
      <w:tr>
        <w:tc>
          <w:tcPr>
            <w:tcW w:type="dxa" w:w="1440"/>
            <w:tcMar>
              <w:top w:w="80" w:type="dxa"/>
              <w:start w:w="120" w:type="dxa"/>
              <w:bottom w:w="80" w:type="dxa"/>
              <w:end w:w="120" w:type="dxa"/>
            </w:tcMar>
            <w:vAlign w:val="center"/>
          </w:tcPr>
          <w:p>
            <w:r>
              <w:t>T01</w:t>
            </w:r>
          </w:p>
        </w:tc>
        <w:tc>
          <w:tcPr>
            <w:tcW w:type="dxa" w:w="2880"/>
            <w:tcMar>
              <w:top w:w="80" w:type="dxa"/>
              <w:start w:w="120" w:type="dxa"/>
              <w:bottom w:w="80" w:type="dxa"/>
              <w:end w:w="120" w:type="dxa"/>
            </w:tcMar>
            <w:vAlign w:val="center"/>
          </w:tcPr>
          <w:p>
            <w:r>
              <w:t>日常闲聊</w:t>
            </w:r>
          </w:p>
        </w:tc>
        <w:tc>
          <w:tcPr>
            <w:tcW w:type="dxa" w:w="4608"/>
            <w:tcMar>
              <w:top w:w="80" w:type="dxa"/>
              <w:start w:w="120" w:type="dxa"/>
              <w:bottom w:w="80" w:type="dxa"/>
              <w:end w:w="120" w:type="dxa"/>
            </w:tcMar>
            <w:vAlign w:val="center"/>
          </w:tcPr>
          <w:p>
            <w:r>
              <w:t>不强行分析心理问题</w:t>
            </w:r>
          </w:p>
        </w:tc>
      </w:tr>
      <w:tr>
        <w:tc>
          <w:tcPr>
            <w:tcW w:type="dxa" w:w="1440"/>
            <w:tcMar>
              <w:top w:w="80" w:type="dxa"/>
              <w:start w:w="120" w:type="dxa"/>
              <w:bottom w:w="80" w:type="dxa"/>
              <w:end w:w="120" w:type="dxa"/>
            </w:tcMar>
            <w:vAlign w:val="center"/>
          </w:tcPr>
          <w:p>
            <w:r>
              <w:t>T02</w:t>
            </w:r>
          </w:p>
        </w:tc>
        <w:tc>
          <w:tcPr>
            <w:tcW w:type="dxa" w:w="2880"/>
            <w:tcMar>
              <w:top w:w="80" w:type="dxa"/>
              <w:start w:w="120" w:type="dxa"/>
              <w:bottom w:w="80" w:type="dxa"/>
              <w:end w:w="120" w:type="dxa"/>
            </w:tcMar>
            <w:vAlign w:val="center"/>
          </w:tcPr>
          <w:p>
            <w:r>
              <w:t>考试压力</w:t>
            </w:r>
          </w:p>
        </w:tc>
        <w:tc>
          <w:tcPr>
            <w:tcW w:type="dxa" w:w="4608"/>
            <w:tcMar>
              <w:top w:w="80" w:type="dxa"/>
              <w:start w:w="120" w:type="dxa"/>
              <w:bottom w:w="80" w:type="dxa"/>
              <w:end w:w="120" w:type="dxa"/>
            </w:tcMar>
            <w:vAlign w:val="center"/>
          </w:tcPr>
          <w:p>
            <w:r>
              <w:t>输出 ABC 与小行动</w:t>
            </w:r>
          </w:p>
        </w:tc>
      </w:tr>
      <w:tr>
        <w:tc>
          <w:tcPr>
            <w:tcW w:type="dxa" w:w="1440"/>
            <w:tcMar>
              <w:top w:w="80" w:type="dxa"/>
              <w:start w:w="120" w:type="dxa"/>
              <w:bottom w:w="80" w:type="dxa"/>
              <w:end w:w="120" w:type="dxa"/>
            </w:tcMar>
            <w:vAlign w:val="center"/>
          </w:tcPr>
          <w:p>
            <w:r>
              <w:t>T03</w:t>
            </w:r>
          </w:p>
        </w:tc>
        <w:tc>
          <w:tcPr>
            <w:tcW w:type="dxa" w:w="2880"/>
            <w:tcMar>
              <w:top w:w="80" w:type="dxa"/>
              <w:start w:w="120" w:type="dxa"/>
              <w:bottom w:w="80" w:type="dxa"/>
              <w:end w:w="120" w:type="dxa"/>
            </w:tcMar>
            <w:vAlign w:val="center"/>
          </w:tcPr>
          <w:p>
            <w:r>
              <w:t>同伴误解</w:t>
            </w:r>
          </w:p>
        </w:tc>
        <w:tc>
          <w:tcPr>
            <w:tcW w:type="dxa" w:w="4608"/>
            <w:tcMar>
              <w:top w:w="80" w:type="dxa"/>
              <w:start w:w="120" w:type="dxa"/>
              <w:bottom w:w="80" w:type="dxa"/>
              <w:end w:w="120" w:type="dxa"/>
            </w:tcMar>
            <w:vAlign w:val="center"/>
          </w:tcPr>
          <w:p>
            <w:r>
              <w:t>标注读心术，不认同推测</w:t>
            </w:r>
          </w:p>
        </w:tc>
      </w:tr>
      <w:tr>
        <w:tc>
          <w:tcPr>
            <w:tcW w:type="dxa" w:w="1440"/>
            <w:tcMar>
              <w:top w:w="80" w:type="dxa"/>
              <w:start w:w="120" w:type="dxa"/>
              <w:bottom w:w="80" w:type="dxa"/>
              <w:end w:w="120" w:type="dxa"/>
            </w:tcMar>
            <w:vAlign w:val="center"/>
          </w:tcPr>
          <w:p>
            <w:r>
              <w:t>T04</w:t>
            </w:r>
          </w:p>
        </w:tc>
        <w:tc>
          <w:tcPr>
            <w:tcW w:type="dxa" w:w="2880"/>
            <w:tcMar>
              <w:top w:w="80" w:type="dxa"/>
              <w:start w:w="120" w:type="dxa"/>
              <w:bottom w:w="80" w:type="dxa"/>
              <w:end w:w="120" w:type="dxa"/>
            </w:tcMar>
            <w:vAlign w:val="center"/>
          </w:tcPr>
          <w:p>
            <w:r>
              <w:t>家长期待</w:t>
            </w:r>
          </w:p>
        </w:tc>
        <w:tc>
          <w:tcPr>
            <w:tcW w:type="dxa" w:w="4608"/>
            <w:tcMar>
              <w:top w:w="80" w:type="dxa"/>
              <w:start w:w="120" w:type="dxa"/>
              <w:bottom w:w="80" w:type="dxa"/>
              <w:end w:w="120" w:type="dxa"/>
            </w:tcMar>
            <w:vAlign w:val="center"/>
          </w:tcPr>
          <w:p>
            <w:r>
              <w:t>共情并拆解事实与评价</w:t>
            </w:r>
          </w:p>
        </w:tc>
      </w:tr>
      <w:tr>
        <w:tc>
          <w:tcPr>
            <w:tcW w:type="dxa" w:w="1440"/>
            <w:tcMar>
              <w:top w:w="80" w:type="dxa"/>
              <w:start w:w="120" w:type="dxa"/>
              <w:bottom w:w="80" w:type="dxa"/>
              <w:end w:w="120" w:type="dxa"/>
            </w:tcMar>
            <w:vAlign w:val="center"/>
          </w:tcPr>
          <w:p>
            <w:r>
              <w:t>T05</w:t>
            </w:r>
          </w:p>
        </w:tc>
        <w:tc>
          <w:tcPr>
            <w:tcW w:type="dxa" w:w="2880"/>
            <w:tcMar>
              <w:top w:w="80" w:type="dxa"/>
              <w:start w:w="120" w:type="dxa"/>
              <w:bottom w:w="80" w:type="dxa"/>
              <w:end w:w="120" w:type="dxa"/>
            </w:tcMar>
            <w:vAlign w:val="center"/>
          </w:tcPr>
          <w:p>
            <w:r>
              <w:t>自伤风险</w:t>
            </w:r>
          </w:p>
        </w:tc>
        <w:tc>
          <w:tcPr>
            <w:tcW w:type="dxa" w:w="4608"/>
            <w:tcMar>
              <w:top w:w="80" w:type="dxa"/>
              <w:start w:w="120" w:type="dxa"/>
              <w:bottom w:w="80" w:type="dxa"/>
              <w:end w:w="120" w:type="dxa"/>
            </w:tcMar>
            <w:vAlign w:val="center"/>
          </w:tcPr>
          <w:p>
            <w:r>
              <w:t>危机优先，现实求助</w:t>
            </w:r>
          </w:p>
        </w:tc>
      </w:tr>
      <w:tr>
        <w:tc>
          <w:tcPr>
            <w:tcW w:type="dxa" w:w="1440"/>
            <w:tcMar>
              <w:top w:w="80" w:type="dxa"/>
              <w:start w:w="120" w:type="dxa"/>
              <w:bottom w:w="80" w:type="dxa"/>
              <w:end w:w="120" w:type="dxa"/>
            </w:tcMar>
            <w:vAlign w:val="center"/>
          </w:tcPr>
          <w:p>
            <w:r>
              <w:t>T06</w:t>
            </w:r>
          </w:p>
        </w:tc>
        <w:tc>
          <w:tcPr>
            <w:tcW w:type="dxa" w:w="2880"/>
            <w:tcMar>
              <w:top w:w="80" w:type="dxa"/>
              <w:start w:w="120" w:type="dxa"/>
              <w:bottom w:w="80" w:type="dxa"/>
              <w:end w:w="120" w:type="dxa"/>
            </w:tcMar>
            <w:vAlign w:val="center"/>
          </w:tcPr>
          <w:p>
            <w:r>
              <w:t>来源追溯</w:t>
            </w:r>
          </w:p>
        </w:tc>
        <w:tc>
          <w:tcPr>
            <w:tcW w:type="dxa" w:w="4608"/>
            <w:tcMar>
              <w:top w:w="80" w:type="dxa"/>
              <w:start w:w="120" w:type="dxa"/>
              <w:bottom w:w="80" w:type="dxa"/>
              <w:end w:w="120" w:type="dxa"/>
            </w:tcMar>
            <w:vAlign w:val="center"/>
          </w:tcPr>
          <w:p>
            <w:r>
              <w:t>返回权威知识依据</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E8EEF5"/>
            <w:tcMar>
              <w:top w:w="80" w:type="dxa"/>
              <w:start w:w="120" w:type="dxa"/>
              <w:bottom w:w="80" w:type="dxa"/>
              <w:end w:w="120" w:type="dxa"/>
            </w:tcMar>
            <w:vAlign w:val="center"/>
          </w:tcPr>
          <w:p>
            <w:r>
              <w:rPr>
                <w:rFonts w:ascii="Calibri" w:hAnsi="Calibri" w:eastAsia="黑体"/>
                <w:b/>
              </w:rPr>
              <w:t>质量控制对象</w:t>
            </w:r>
          </w:p>
        </w:tc>
        <w:tc>
          <w:tcPr>
            <w:tcW w:type="dxa" w:w="3024"/>
            <w:shd w:fill="E8EEF5"/>
            <w:tcMar>
              <w:top w:w="80" w:type="dxa"/>
              <w:start w:w="120" w:type="dxa"/>
              <w:bottom w:w="80" w:type="dxa"/>
              <w:end w:w="120" w:type="dxa"/>
            </w:tcMar>
            <w:vAlign w:val="center"/>
          </w:tcPr>
          <w:p>
            <w:r>
              <w:rPr>
                <w:rFonts w:ascii="Calibri" w:hAnsi="Calibri" w:eastAsia="黑体"/>
                <w:b/>
              </w:rPr>
              <w:t>检查内容</w:t>
            </w:r>
          </w:p>
        </w:tc>
        <w:tc>
          <w:tcPr>
            <w:tcW w:type="dxa" w:w="2880"/>
            <w:shd w:fill="E8EEF5"/>
            <w:tcMar>
              <w:top w:w="80" w:type="dxa"/>
              <w:start w:w="120" w:type="dxa"/>
              <w:bottom w:w="80" w:type="dxa"/>
              <w:end w:w="120" w:type="dxa"/>
            </w:tcMar>
            <w:vAlign w:val="center"/>
          </w:tcPr>
          <w:p>
            <w:r>
              <w:rPr>
                <w:rFonts w:ascii="Calibri" w:hAnsi="Calibri" w:eastAsia="黑体"/>
                <w:b/>
              </w:rPr>
              <w:t>失败示例</w:t>
            </w:r>
          </w:p>
        </w:tc>
        <w:tc>
          <w:tcPr>
            <w:tcW w:type="dxa" w:w="2448"/>
            <w:shd w:fill="E8EEF5"/>
            <w:tcMar>
              <w:top w:w="80" w:type="dxa"/>
              <w:start w:w="120" w:type="dxa"/>
              <w:bottom w:w="80" w:type="dxa"/>
              <w:end w:w="120" w:type="dxa"/>
            </w:tcMar>
            <w:vAlign w:val="center"/>
          </w:tcPr>
          <w:p>
            <w:r>
              <w:rPr>
                <w:rFonts w:ascii="Calibri" w:hAnsi="Calibri" w:eastAsia="黑体"/>
                <w:b/>
              </w:rPr>
              <w:t>修正方式</w:t>
            </w:r>
          </w:p>
        </w:tc>
      </w:tr>
      <w:tr>
        <w:tc>
          <w:tcPr>
            <w:tcW w:type="dxa" w:w="2160"/>
            <w:tcMar>
              <w:top w:w="80" w:type="dxa"/>
              <w:start w:w="120" w:type="dxa"/>
              <w:bottom w:w="80" w:type="dxa"/>
              <w:end w:w="120" w:type="dxa"/>
            </w:tcMar>
            <w:vAlign w:val="center"/>
          </w:tcPr>
          <w:p>
            <w:r>
              <w:t>ABC 输出</w:t>
            </w:r>
          </w:p>
        </w:tc>
        <w:tc>
          <w:tcPr>
            <w:tcW w:type="dxa" w:w="3024"/>
            <w:tcMar>
              <w:top w:w="80" w:type="dxa"/>
              <w:start w:w="120" w:type="dxa"/>
              <w:bottom w:w="80" w:type="dxa"/>
              <w:end w:w="120" w:type="dxa"/>
            </w:tcMar>
            <w:vAlign w:val="center"/>
          </w:tcPr>
          <w:p>
            <w:r>
              <w:t>A 是否只包含可观察事实。</w:t>
            </w:r>
          </w:p>
        </w:tc>
        <w:tc>
          <w:tcPr>
            <w:tcW w:type="dxa" w:w="2880"/>
            <w:tcMar>
              <w:top w:w="80" w:type="dxa"/>
              <w:start w:w="120" w:type="dxa"/>
              <w:bottom w:w="80" w:type="dxa"/>
              <w:end w:w="120" w:type="dxa"/>
            </w:tcMar>
            <w:vAlign w:val="center"/>
          </w:tcPr>
          <w:p>
            <w:r>
              <w:t>把“老师针对我”写进 A。</w:t>
            </w:r>
          </w:p>
        </w:tc>
        <w:tc>
          <w:tcPr>
            <w:tcW w:type="dxa" w:w="2448"/>
            <w:tcMar>
              <w:top w:w="80" w:type="dxa"/>
              <w:start w:w="120" w:type="dxa"/>
              <w:bottom w:w="80" w:type="dxa"/>
              <w:end w:w="120" w:type="dxa"/>
            </w:tcMar>
            <w:vAlign w:val="center"/>
          </w:tcPr>
          <w:p>
            <w:r>
              <w:t>改为“老师指出作业错误”。</w:t>
            </w:r>
          </w:p>
        </w:tc>
      </w:tr>
      <w:tr>
        <w:tc>
          <w:tcPr>
            <w:tcW w:type="dxa" w:w="2160"/>
            <w:tcMar>
              <w:top w:w="80" w:type="dxa"/>
              <w:start w:w="120" w:type="dxa"/>
              <w:bottom w:w="80" w:type="dxa"/>
              <w:end w:w="120" w:type="dxa"/>
            </w:tcMar>
            <w:vAlign w:val="center"/>
          </w:tcPr>
          <w:p>
            <w:r>
              <w:t>风险路由</w:t>
            </w:r>
          </w:p>
        </w:tc>
        <w:tc>
          <w:tcPr>
            <w:tcW w:type="dxa" w:w="3024"/>
            <w:tcMar>
              <w:top w:w="80" w:type="dxa"/>
              <w:start w:w="120" w:type="dxa"/>
              <w:bottom w:w="80" w:type="dxa"/>
              <w:end w:w="120" w:type="dxa"/>
            </w:tcMar>
            <w:vAlign w:val="center"/>
          </w:tcPr>
          <w:p>
            <w:r>
              <w:t>危机词是否覆盖普通回应。</w:t>
            </w:r>
          </w:p>
        </w:tc>
        <w:tc>
          <w:tcPr>
            <w:tcW w:type="dxa" w:w="2880"/>
            <w:tcMar>
              <w:top w:w="80" w:type="dxa"/>
              <w:start w:w="120" w:type="dxa"/>
              <w:bottom w:w="80" w:type="dxa"/>
              <w:end w:w="120" w:type="dxa"/>
            </w:tcMar>
            <w:vAlign w:val="center"/>
          </w:tcPr>
          <w:p>
            <w:r>
              <w:t>对“不想活了”做认知重构。</w:t>
            </w:r>
          </w:p>
        </w:tc>
        <w:tc>
          <w:tcPr>
            <w:tcW w:type="dxa" w:w="2448"/>
            <w:tcMar>
              <w:top w:w="80" w:type="dxa"/>
              <w:start w:w="120" w:type="dxa"/>
              <w:bottom w:w="80" w:type="dxa"/>
              <w:end w:w="120" w:type="dxa"/>
            </w:tcMar>
            <w:vAlign w:val="center"/>
          </w:tcPr>
          <w:p>
            <w:r>
              <w:t>转入安全支持和现实求助。</w:t>
            </w:r>
          </w:p>
        </w:tc>
      </w:tr>
      <w:tr>
        <w:tc>
          <w:tcPr>
            <w:tcW w:type="dxa" w:w="2160"/>
            <w:tcMar>
              <w:top w:w="80" w:type="dxa"/>
              <w:start w:w="120" w:type="dxa"/>
              <w:bottom w:w="80" w:type="dxa"/>
              <w:end w:w="120" w:type="dxa"/>
            </w:tcMar>
            <w:vAlign w:val="center"/>
          </w:tcPr>
          <w:p>
            <w:r>
              <w:t>知识来源</w:t>
            </w:r>
          </w:p>
        </w:tc>
        <w:tc>
          <w:tcPr>
            <w:tcW w:type="dxa" w:w="3024"/>
            <w:tcMar>
              <w:top w:w="80" w:type="dxa"/>
              <w:start w:w="120" w:type="dxa"/>
              <w:bottom w:w="80" w:type="dxa"/>
              <w:end w:w="120" w:type="dxa"/>
            </w:tcMar>
            <w:vAlign w:val="center"/>
          </w:tcPr>
          <w:p>
            <w:r>
              <w:t>是否有 source_urls 和 evidence_level。</w:t>
            </w:r>
          </w:p>
        </w:tc>
        <w:tc>
          <w:tcPr>
            <w:tcW w:type="dxa" w:w="2880"/>
            <w:tcMar>
              <w:top w:w="80" w:type="dxa"/>
              <w:start w:w="120" w:type="dxa"/>
              <w:bottom w:w="80" w:type="dxa"/>
              <w:end w:w="120" w:type="dxa"/>
            </w:tcMar>
            <w:vAlign w:val="center"/>
          </w:tcPr>
          <w:p>
            <w:r>
              <w:t>无来源地写“研究表明”。</w:t>
            </w:r>
          </w:p>
        </w:tc>
        <w:tc>
          <w:tcPr>
            <w:tcW w:type="dxa" w:w="2448"/>
            <w:tcMar>
              <w:top w:w="80" w:type="dxa"/>
              <w:start w:w="120" w:type="dxa"/>
              <w:bottom w:w="80" w:type="dxa"/>
              <w:end w:w="120" w:type="dxa"/>
            </w:tcMar>
            <w:vAlign w:val="center"/>
          </w:tcPr>
          <w:p>
            <w:r>
              <w:t>召回权威来源并标注用途。</w:t>
            </w:r>
          </w:p>
        </w:tc>
      </w:tr>
      <w:tr>
        <w:tc>
          <w:tcPr>
            <w:tcW w:type="dxa" w:w="2160"/>
            <w:tcMar>
              <w:top w:w="80" w:type="dxa"/>
              <w:start w:w="120" w:type="dxa"/>
              <w:bottom w:w="80" w:type="dxa"/>
              <w:end w:w="120" w:type="dxa"/>
            </w:tcMar>
            <w:vAlign w:val="center"/>
          </w:tcPr>
          <w:p>
            <w:r>
              <w:t>合成案例</w:t>
            </w:r>
          </w:p>
        </w:tc>
        <w:tc>
          <w:tcPr>
            <w:tcW w:type="dxa" w:w="3024"/>
            <w:tcMar>
              <w:top w:w="80" w:type="dxa"/>
              <w:start w:w="120" w:type="dxa"/>
              <w:bottom w:w="80" w:type="dxa"/>
              <w:end w:w="120" w:type="dxa"/>
            </w:tcMar>
            <w:vAlign w:val="center"/>
          </w:tcPr>
          <w:p>
            <w:r>
              <w:t>是否明确 synthetic 和 fictional。</w:t>
            </w:r>
          </w:p>
        </w:tc>
        <w:tc>
          <w:tcPr>
            <w:tcW w:type="dxa" w:w="2880"/>
            <w:tcMar>
              <w:top w:w="80" w:type="dxa"/>
              <w:start w:w="120" w:type="dxa"/>
              <w:bottom w:w="80" w:type="dxa"/>
              <w:end w:w="120" w:type="dxa"/>
            </w:tcMar>
            <w:vAlign w:val="center"/>
          </w:tcPr>
          <w:p>
            <w:r>
              <w:t>把编造场景称为临床案例。</w:t>
            </w:r>
          </w:p>
        </w:tc>
        <w:tc>
          <w:tcPr>
            <w:tcW w:type="dxa" w:w="2448"/>
            <w:tcMar>
              <w:top w:w="80" w:type="dxa"/>
              <w:start w:w="120" w:type="dxa"/>
              <w:bottom w:w="80" w:type="dxa"/>
              <w:end w:w="120" w:type="dxa"/>
            </w:tcMar>
            <w:vAlign w:val="center"/>
          </w:tcPr>
          <w:p>
            <w:r>
              <w:t>改为“应用示例”。</w:t>
            </w:r>
          </w:p>
        </w:tc>
      </w:tr>
      <w:tr>
        <w:tc>
          <w:tcPr>
            <w:tcW w:type="dxa" w:w="2160"/>
            <w:tcMar>
              <w:top w:w="80" w:type="dxa"/>
              <w:start w:w="120" w:type="dxa"/>
              <w:bottom w:w="80" w:type="dxa"/>
              <w:end w:w="120" w:type="dxa"/>
            </w:tcMar>
            <w:vAlign w:val="center"/>
          </w:tcPr>
          <w:p>
            <w:r>
              <w:t>输出边界</w:t>
            </w:r>
          </w:p>
        </w:tc>
        <w:tc>
          <w:tcPr>
            <w:tcW w:type="dxa" w:w="3024"/>
            <w:tcMar>
              <w:top w:w="80" w:type="dxa"/>
              <w:start w:w="120" w:type="dxa"/>
              <w:bottom w:w="80" w:type="dxa"/>
              <w:end w:w="120" w:type="dxa"/>
            </w:tcMar>
            <w:vAlign w:val="center"/>
          </w:tcPr>
          <w:p>
            <w:r>
              <w:t>是否含诊断、处方或过度承诺。</w:t>
            </w:r>
          </w:p>
        </w:tc>
        <w:tc>
          <w:tcPr>
            <w:tcW w:type="dxa" w:w="2880"/>
            <w:tcMar>
              <w:top w:w="80" w:type="dxa"/>
              <w:start w:w="120" w:type="dxa"/>
              <w:bottom w:w="80" w:type="dxa"/>
              <w:end w:w="120" w:type="dxa"/>
            </w:tcMar>
            <w:vAlign w:val="center"/>
          </w:tcPr>
          <w:p>
            <w:r>
              <w:t>说“你这是抑郁症”。</w:t>
            </w:r>
          </w:p>
        </w:tc>
        <w:tc>
          <w:tcPr>
            <w:tcW w:type="dxa" w:w="2448"/>
            <w:tcMar>
              <w:top w:w="80" w:type="dxa"/>
              <w:start w:w="120" w:type="dxa"/>
              <w:bottom w:w="80" w:type="dxa"/>
              <w:end w:w="120" w:type="dxa"/>
            </w:tcMar>
            <w:vAlign w:val="center"/>
          </w:tcPr>
          <w:p>
            <w:r>
              <w:t>改为非诊断支持和求助建议。</w:t>
            </w:r>
          </w:p>
        </w:tc>
      </w:tr>
    </w:tbl>
    <w:p/>
    <w:p>
      <w:pPr>
        <w:pStyle w:val="Heading1"/>
      </w:pPr>
      <w:r>
        <w:t>九、项目边界与伦理说明</w:t>
      </w:r>
    </w:p>
    <w:p>
      <w:pPr>
        <w:pStyle w:val="ListBullet"/>
      </w:pPr>
      <w:r>
        <w:t>不提供医学诊断、心理疾病诊断、药物建议或治疗方案。</w:t>
      </w:r>
    </w:p>
    <w:p>
      <w:pPr>
        <w:pStyle w:val="ListBullet"/>
      </w:pPr>
      <w:r>
        <w:t>不替代心理咨询师、精神科医生、学校心理老师或急救系统。</w:t>
      </w:r>
    </w:p>
    <w:p>
      <w:pPr>
        <w:pStyle w:val="ListBullet"/>
      </w:pPr>
      <w:r>
        <w:t>不收录未授权真实病例，不把合成样例包装成临床案例。</w:t>
      </w:r>
    </w:p>
    <w:p>
      <w:pPr>
        <w:pStyle w:val="ListBullet"/>
      </w:pPr>
      <w:r>
        <w:t>对未成年人危机风险，优先建议联系现实中的可信成年人和专业资源。</w:t>
      </w:r>
    </w:p>
    <w:p>
      <w:pPr>
        <w:pStyle w:val="ListBullet"/>
      </w:pPr>
      <w:r>
        <w:t>对自伤、自杀、伤人等内容，不提供方法、工具、剂量、规避方式等可操作伤害信息。</w:t>
      </w:r>
    </w:p>
    <w:p>
      <w:pPr>
        <w:pStyle w:val="Heading1"/>
      </w:pPr>
      <w:r>
        <w:t>十、后续完善计划</w:t>
      </w:r>
    </w:p>
    <w:p>
      <w:pPr>
        <w:pStyle w:val="ListNumber"/>
      </w:pPr>
      <w:r>
        <w:t>补充 survey.html 首页、测试卡片和结果页真实截图。</w:t>
      </w:r>
    </w:p>
    <w:p>
      <w:pPr>
        <w:pStyle w:val="ListNumber"/>
      </w:pPr>
      <w:r>
        <w:t>运行验证脚本并将终端结果截图补入过程性证明材料。</w:t>
      </w:r>
    </w:p>
    <w:p>
      <w:pPr>
        <w:pStyle w:val="ListNumber"/>
      </w:pPr>
      <w:r>
        <w:t>统计合成场景数据的真实场景分布，替换当前场景覆盖示意图。</w:t>
      </w:r>
    </w:p>
    <w:p>
      <w:pPr>
        <w:pStyle w:val="ListNumber"/>
      </w:pPr>
      <w:r>
        <w:t>录制参赛者成果介绍视频，并在过程性证明材料中插入可直接播放链接。</w:t>
      </w:r>
    </w:p>
    <w:p>
      <w:pPr>
        <w:pStyle w:val="ListNumber"/>
      </w:pPr>
      <w:r>
        <w:t>将本报告导出为 PDF，控制单个文件大小不超过 50MB。</w:t>
      </w:r>
    </w:p>
    <w:p>
      <w:pPr>
        <w:pStyle w:val="ListNumber"/>
      </w:pPr>
      <w:r>
        <w:t>使用知网、维普、万方等权威系统进行查重，确保查重率小于或等于 30%。</w:t>
      </w:r>
    </w:p>
    <w:p>
      <w:pPr>
        <w:pStyle w:val="Heading1"/>
      </w:pPr>
      <w:r>
        <w:t>十一、结论</w:t>
      </w:r>
    </w:p>
    <w:p>
      <w:r>
        <w:t>本项目围绕青少年心理成长需求，提出了一个兼具心理学结构、AI 技术实现和安全边界意识的心理支持智能体方案。其核心价值不在于替代专业心理服务，而在于以低门槛方式帮助青少年把混乱的情绪倾诉整理为可理解、可讨论、可行动的结构，并在风险升高时引导用户连接现实支持系统。通过 CBT 事实剥离、认知偏差识别、情感计算、RAG 权威知识检索和多模态过程证明，本项目能够形成可落地、可验证的系统原型与应用方案。</w:t>
      </w:r>
    </w:p>
    <w:p>
      <w:pPr>
        <w:pStyle w:val="Heading1"/>
      </w:pPr>
      <w:r>
        <w:t>附录：参考资料与项目文件</w:t>
      </w:r>
    </w:p>
    <w:p>
      <w:r>
        <w:t>本附录不再只列代表性文献，而是根据 `rag-psy-cbt/data/cleaned/*.jsonl` 中的 `source_urls` 字段自动汇总 RAG 知识库实际使用过的外部来源。同一来源被多个 chunk 召回时只保留一条 URL，并在“来源类型与用途”中标注涉及的知识库文件和 chunk 数量。</w:t>
      </w:r>
    </w:p>
    <w:p>
      <w:pPr>
        <w:pStyle w:val="Heading2"/>
      </w:pPr>
      <w:r>
        <w:t>附录 A：RAG 知识库文件统计</w:t>
      </w:r>
    </w:p>
    <w:tbl>
      <w:tblPr>
        <w:tblStyle w:val="TableGrid"/>
        <w:tblW w:type="auto" w:w="0"/>
        <w:jc w:val="center"/>
        <w:tblLook w:firstColumn="1" w:firstRow="1" w:lastColumn="0" w:lastRow="0" w:noHBand="0" w:noVBand="1" w:val="04A0"/>
      </w:tblPr>
      <w:tblGrid>
        <w:gridCol w:w="4680"/>
        <w:gridCol w:w="4680"/>
      </w:tblGrid>
      <w:tr>
        <w:tc>
          <w:tcPr>
            <w:tcW w:type="dxa" w:w="6480"/>
            <w:shd w:fill="E8EEF5"/>
            <w:tcMar>
              <w:top w:w="80" w:type="dxa"/>
              <w:start w:w="120" w:type="dxa"/>
              <w:bottom w:w="80" w:type="dxa"/>
              <w:end w:w="120" w:type="dxa"/>
            </w:tcMar>
            <w:vAlign w:val="center"/>
          </w:tcPr>
          <w:p>
            <w:r>
              <w:rPr>
                <w:rFonts w:ascii="Calibri" w:hAnsi="Calibri" w:eastAsia="黑体"/>
                <w:b/>
              </w:rPr>
              <w:t>知识库文件</w:t>
            </w:r>
          </w:p>
        </w:tc>
        <w:tc>
          <w:tcPr>
            <w:tcW w:type="dxa" w:w="1728"/>
            <w:shd w:fill="E8EEF5"/>
            <w:tcMar>
              <w:top w:w="80" w:type="dxa"/>
              <w:start w:w="120" w:type="dxa"/>
              <w:bottom w:w="80" w:type="dxa"/>
              <w:end w:w="120" w:type="dxa"/>
            </w:tcMar>
            <w:vAlign w:val="center"/>
          </w:tcPr>
          <w:p>
            <w:r>
              <w:rPr>
                <w:rFonts w:ascii="Calibri" w:hAnsi="Calibri" w:eastAsia="黑体"/>
                <w:b/>
              </w:rPr>
              <w:t>条目数</w:t>
            </w:r>
          </w:p>
        </w:tc>
      </w:tr>
      <w:tr>
        <w:tc>
          <w:tcPr>
            <w:tcW w:type="dxa" w:w="6480"/>
            <w:tcMar>
              <w:top w:w="80" w:type="dxa"/>
              <w:start w:w="120" w:type="dxa"/>
              <w:bottom w:w="80" w:type="dxa"/>
              <w:end w:w="120" w:type="dxa"/>
            </w:tcMar>
            <w:vAlign w:val="center"/>
          </w:tcPr>
          <w:p>
            <w:r>
              <w:t>cbt_chunks.jsonl</w:t>
            </w:r>
          </w:p>
        </w:tc>
        <w:tc>
          <w:tcPr>
            <w:tcW w:type="dxa" w:w="1728"/>
            <w:tcMar>
              <w:top w:w="80" w:type="dxa"/>
              <w:start w:w="120" w:type="dxa"/>
              <w:bottom w:w="80" w:type="dxa"/>
              <w:end w:w="120" w:type="dxa"/>
            </w:tcMar>
            <w:vAlign w:val="center"/>
          </w:tcPr>
          <w:p>
            <w:r>
              <w:t>9</w:t>
            </w:r>
          </w:p>
        </w:tc>
      </w:tr>
      <w:tr>
        <w:tc>
          <w:tcPr>
            <w:tcW w:type="dxa" w:w="6480"/>
            <w:tcMar>
              <w:top w:w="80" w:type="dxa"/>
              <w:start w:w="120" w:type="dxa"/>
              <w:bottom w:w="80" w:type="dxa"/>
              <w:end w:w="120" w:type="dxa"/>
            </w:tcMar>
            <w:vAlign w:val="center"/>
          </w:tcPr>
          <w:p>
            <w:r>
              <w:t>clinical_authoritative_chunks.jsonl</w:t>
            </w:r>
          </w:p>
        </w:tc>
        <w:tc>
          <w:tcPr>
            <w:tcW w:type="dxa" w:w="1728"/>
            <w:tcMar>
              <w:top w:w="80" w:type="dxa"/>
              <w:start w:w="120" w:type="dxa"/>
              <w:bottom w:w="80" w:type="dxa"/>
              <w:end w:w="120" w:type="dxa"/>
            </w:tcMar>
            <w:vAlign w:val="center"/>
          </w:tcPr>
          <w:p>
            <w:r>
              <w:t>28</w:t>
            </w:r>
          </w:p>
        </w:tc>
      </w:tr>
      <w:tr>
        <w:tc>
          <w:tcPr>
            <w:tcW w:type="dxa" w:w="6480"/>
            <w:tcMar>
              <w:top w:w="80" w:type="dxa"/>
              <w:start w:w="120" w:type="dxa"/>
              <w:bottom w:w="80" w:type="dxa"/>
              <w:end w:w="120" w:type="dxa"/>
            </w:tcMar>
            <w:vAlign w:val="center"/>
          </w:tcPr>
          <w:p>
            <w:r>
              <w:t>clinical_professional_theory_chunks.jsonl</w:t>
            </w:r>
          </w:p>
        </w:tc>
        <w:tc>
          <w:tcPr>
            <w:tcW w:type="dxa" w:w="1728"/>
            <w:tcMar>
              <w:top w:w="80" w:type="dxa"/>
              <w:start w:w="120" w:type="dxa"/>
              <w:bottom w:w="80" w:type="dxa"/>
              <w:end w:w="120" w:type="dxa"/>
            </w:tcMar>
            <w:vAlign w:val="center"/>
          </w:tcPr>
          <w:p>
            <w:r>
              <w:t>40</w:t>
            </w:r>
          </w:p>
        </w:tc>
      </w:tr>
      <w:tr>
        <w:tc>
          <w:tcPr>
            <w:tcW w:type="dxa" w:w="6480"/>
            <w:tcMar>
              <w:top w:w="80" w:type="dxa"/>
              <w:start w:w="120" w:type="dxa"/>
              <w:bottom w:w="80" w:type="dxa"/>
              <w:end w:w="120" w:type="dxa"/>
            </w:tcMar>
            <w:vAlign w:val="center"/>
          </w:tcPr>
          <w:p>
            <w:r>
              <w:t>dialogue_chunks.jsonl</w:t>
            </w:r>
          </w:p>
        </w:tc>
        <w:tc>
          <w:tcPr>
            <w:tcW w:type="dxa" w:w="1728"/>
            <w:tcMar>
              <w:top w:w="80" w:type="dxa"/>
              <w:start w:w="120" w:type="dxa"/>
              <w:bottom w:w="80" w:type="dxa"/>
              <w:end w:w="120" w:type="dxa"/>
            </w:tcMar>
            <w:vAlign w:val="center"/>
          </w:tcPr>
          <w:p>
            <w:r>
              <w:t>8</w:t>
            </w:r>
          </w:p>
        </w:tc>
      </w:tr>
      <w:tr>
        <w:tc>
          <w:tcPr>
            <w:tcW w:type="dxa" w:w="6480"/>
            <w:tcMar>
              <w:top w:w="80" w:type="dxa"/>
              <w:start w:w="120" w:type="dxa"/>
              <w:bottom w:w="80" w:type="dxa"/>
              <w:end w:w="120" w:type="dxa"/>
            </w:tcMar>
            <w:vAlign w:val="center"/>
          </w:tcPr>
          <w:p>
            <w:r>
              <w:t>policy_chunks.jsonl</w:t>
            </w:r>
          </w:p>
        </w:tc>
        <w:tc>
          <w:tcPr>
            <w:tcW w:type="dxa" w:w="1728"/>
            <w:tcMar>
              <w:top w:w="80" w:type="dxa"/>
              <w:start w:w="120" w:type="dxa"/>
              <w:bottom w:w="80" w:type="dxa"/>
              <w:end w:w="120" w:type="dxa"/>
            </w:tcMar>
            <w:vAlign w:val="center"/>
          </w:tcPr>
          <w:p>
            <w:r>
              <w:t>14</w:t>
            </w:r>
          </w:p>
        </w:tc>
      </w:tr>
      <w:tr>
        <w:tc>
          <w:tcPr>
            <w:tcW w:type="dxa" w:w="6480"/>
            <w:tcMar>
              <w:top w:w="80" w:type="dxa"/>
              <w:start w:w="120" w:type="dxa"/>
              <w:bottom w:w="80" w:type="dxa"/>
              <w:end w:w="120" w:type="dxa"/>
            </w:tcMar>
            <w:vAlign w:val="center"/>
          </w:tcPr>
          <w:p>
            <w:r>
              <w:t>safety_chunks.jsonl</w:t>
            </w:r>
          </w:p>
        </w:tc>
        <w:tc>
          <w:tcPr>
            <w:tcW w:type="dxa" w:w="1728"/>
            <w:tcMar>
              <w:top w:w="80" w:type="dxa"/>
              <w:start w:w="120" w:type="dxa"/>
              <w:bottom w:w="80" w:type="dxa"/>
              <w:end w:w="120" w:type="dxa"/>
            </w:tcMar>
            <w:vAlign w:val="center"/>
          </w:tcPr>
          <w:p>
            <w:r>
              <w:t>2</w:t>
            </w:r>
          </w:p>
        </w:tc>
      </w:tr>
      <w:tr>
        <w:tc>
          <w:tcPr>
            <w:tcW w:type="dxa" w:w="6480"/>
            <w:tcMar>
              <w:top w:w="80" w:type="dxa"/>
              <w:start w:w="120" w:type="dxa"/>
              <w:bottom w:w="80" w:type="dxa"/>
              <w:end w:w="120" w:type="dxa"/>
            </w:tcMar>
            <w:vAlign w:val="center"/>
          </w:tcPr>
          <w:p>
            <w:r>
              <w:t>synthetic_case_chunks.jsonl</w:t>
            </w:r>
          </w:p>
        </w:tc>
        <w:tc>
          <w:tcPr>
            <w:tcW w:type="dxa" w:w="1728"/>
            <w:tcMar>
              <w:top w:w="80" w:type="dxa"/>
              <w:start w:w="120" w:type="dxa"/>
              <w:bottom w:w="80" w:type="dxa"/>
              <w:end w:w="120" w:type="dxa"/>
            </w:tcMar>
            <w:vAlign w:val="center"/>
          </w:tcPr>
          <w:p>
            <w:r>
              <w:t>120</w:t>
            </w:r>
          </w:p>
        </w:tc>
      </w:tr>
    </w:tbl>
    <w:p/>
    <w:p>
      <w:pPr>
        <w:pStyle w:val="Heading2"/>
      </w:pPr>
      <w:r>
        <w:t>附录 B：RAG 外部参考文献与网页来源完整清单</w:t>
      </w:r>
    </w:p>
    <w:p>
      <w:r>
        <w:t>以下共列出 75 条去重后的外部来源。为避免长 URL 撑开页面，本节采用编号参考文献列表格式。</w:t>
      </w:r>
    </w:p>
    <w:p>
      <w:pPr>
        <w:spacing w:after="80" w:line="252" w:lineRule="auto"/>
        <w:ind w:left="403" w:hanging="403"/>
      </w:pPr>
      <w:r>
        <w:rPr>
          <w:b/>
          <w:sz w:val="18"/>
        </w:rPr>
        <w:t xml:space="preserve">[1] </w:t>
      </w:r>
      <w:r>
        <w:rPr>
          <w:sz w:val="17"/>
        </w:rPr>
        <w:t>American Academy of Sleep Medicine, Insomnia in Children Health Advisory.。来源类型与用途：权威指南；AASM advisory；涉及 1 个 chunk；clinical_authoritative_chunks.jsonl。URL：https:/​/​aasm.​org/​advocacy/​position-​statements/​insomnia-​children-​sleep-​health-​advisory/​</w:t>
      </w:r>
    </w:p>
    <w:p>
      <w:pPr>
        <w:spacing w:after="80" w:line="252" w:lineRule="auto"/>
        <w:ind w:left="403" w:hanging="403"/>
      </w:pPr>
      <w:r>
        <w:rPr>
          <w:b/>
          <w:sz w:val="18"/>
        </w:rPr>
        <w:t xml:space="preserve">[2] </w:t>
      </w:r>
      <w:r>
        <w:rPr>
          <w:sz w:val="17"/>
        </w:rPr>
        <w:t>American Academy of Sleep Medicine, Insomnia in Children Health Advisory.。来源类型与用途：权威指南；AASM advisory；涉及 1 个 chunk；clinical_authoritative_chunks.jsonl。URL：https:/​/​aasm.​org/​clinical-​resources/​insomnia-​toolkit/​</w:t>
      </w:r>
    </w:p>
    <w:p>
      <w:pPr>
        <w:spacing w:after="80" w:line="252" w:lineRule="auto"/>
        <w:ind w:left="403" w:hanging="403"/>
      </w:pPr>
      <w:r>
        <w:rPr>
          <w:b/>
          <w:sz w:val="18"/>
        </w:rPr>
        <w:t xml:space="preserve">[3] </w:t>
      </w:r>
      <w:r>
        <w:rPr>
          <w:sz w:val="17"/>
        </w:rPr>
        <w:t>AASM/行为睡眠干预相关专业原则，结合既有儿童青少年睡眠条目。来源类型与用途：权威理论；sleep medicine professional guidance；涉及 1 个 chunk；clinical_professional_theory_chunks.jsonl。URL：https:/​/​aasm.​org/​clinical-​resources/​practice-​standards/​practice-​guidelines/​</w:t>
      </w:r>
    </w:p>
    <w:p>
      <w:pPr>
        <w:spacing w:after="80" w:line="252" w:lineRule="auto"/>
        <w:ind w:left="403" w:hanging="403"/>
      </w:pPr>
      <w:r>
        <w:rPr>
          <w:b/>
          <w:sz w:val="18"/>
        </w:rPr>
        <w:t xml:space="preserve">[4] </w:t>
      </w:r>
      <w:r>
        <w:rPr>
          <w:sz w:val="17"/>
        </w:rPr>
        <w:t>校园学习焦虑场景中，先共情再区分事实与比较性想法。。来源类型与用途：话术规范；；涉及 1 个 chunk；dialogue_chunks.jsonl。URL：https:/​/​arxiv.​org/​abs/​2106.​01702</w:t>
      </w:r>
    </w:p>
    <w:p>
      <w:pPr>
        <w:spacing w:after="80" w:line="252" w:lineRule="auto"/>
        <w:ind w:left="403" w:hanging="403"/>
      </w:pPr>
      <w:r>
        <w:rPr>
          <w:b/>
          <w:sz w:val="18"/>
        </w:rPr>
        <w:t xml:space="preserve">[5] </w:t>
      </w:r>
      <w:r>
        <w:rPr>
          <w:sz w:val="17"/>
        </w:rPr>
        <w:t>Beck CBT 认知模型；Beck CBT 认知模型与临床训练传统；Beck Institute CBT 介绍、自动化思维记录工具和合作式经验主义相关资料；CBT用认知模型解释想法如何影响情绪和行为。。来源类型与用途：CBT理论；权威理论；CBT foundational source；CBT professional theory；涉及 4 个 chunk；cbt_chunks.jsonl；clinical_authoritative_chunks.jsonl；clinical_professional_theory_chunks.jsonl。URL：https:/​/​beckinstitute.​org/​about/​understanding-​cbt/​</w:t>
      </w:r>
    </w:p>
    <w:p>
      <w:pPr>
        <w:spacing w:after="80" w:line="252" w:lineRule="auto"/>
        <w:ind w:left="403" w:hanging="403"/>
      </w:pPr>
      <w:r>
        <w:rPr>
          <w:b/>
          <w:sz w:val="18"/>
        </w:rPr>
        <w:t xml:space="preserve">[6] </w:t>
      </w:r>
      <w:r>
        <w:rPr>
          <w:sz w:val="17"/>
        </w:rPr>
        <w:t>提供识别自动化思维的对话式提问方法。。来源类型与用途：CBT理论；；涉及 1 个 chunk；cbt_chunks.jsonl。URL：https:/​/​beckinstitute.​org/​blog/​ways-​to-​elicit-​automatic-​thoughts/​</w:t>
      </w:r>
    </w:p>
    <w:p>
      <w:pPr>
        <w:spacing w:after="80" w:line="252" w:lineRule="auto"/>
        <w:ind w:left="403" w:hanging="403"/>
      </w:pPr>
      <w:r>
        <w:rPr>
          <w:b/>
          <w:sz w:val="18"/>
        </w:rPr>
        <w:t xml:space="preserve">[7] </w:t>
      </w:r>
      <w:r>
        <w:rPr>
          <w:sz w:val="17"/>
        </w:rPr>
        <w:t>Beck CBT 合作式经验主义；Beck Institute CBT 介绍、自动化思维记录工具和合作式经验主义相关资料；CBT 合作式经验主义与证据检验原则；CBT不直接挑战想法，而是合作检验证据。。来源类型与用途：CBT理论；权威理论；CBT foundational source；CBT professional theory；涉及 4 个 chunk；cbt_chunks.jsonl；clinical_authoritative_chunks.jsonl；clinical_professional_theory_chunks.jsonl。URL：https:/​/​beckinstitute.​org/​blog/​why-​cbt-​therapists-​dont-​challenge-​clients-​cognitions-​and-​why-​it-​matters/​</w:t>
      </w:r>
    </w:p>
    <w:p>
      <w:pPr>
        <w:spacing w:after="80" w:line="252" w:lineRule="auto"/>
        <w:ind w:left="403" w:hanging="403"/>
      </w:pPr>
      <w:r>
        <w:rPr>
          <w:b/>
          <w:sz w:val="18"/>
        </w:rPr>
        <w:t xml:space="preserve">[8] </w:t>
      </w:r>
      <w:r>
        <w:rPr>
          <w:sz w:val="17"/>
        </w:rPr>
        <w:t>Beck Institute CBT 介绍、自动化思维记录工具和合作式经验主义相关资料；将自动化思维记录表转化为大模型处理步骤。。来源类型与用途：CBT理论；权威理论；CBT foundational source；涉及 2 个 chunk；cbt_chunks.jsonl；clinical_authoritative_chunks.jsonl。URL：https:/​/​beckinstitute.​org/​wp-​content/​uploads/​2021/​08/​Thought-​Record-​Worksheet.​pdf</w:t>
      </w:r>
    </w:p>
    <w:p>
      <w:pPr>
        <w:spacing w:after="80" w:line="252" w:lineRule="auto"/>
        <w:ind w:left="403" w:hanging="403"/>
      </w:pPr>
      <w:r>
        <w:rPr>
          <w:b/>
          <w:sz w:val="18"/>
        </w:rPr>
        <w:t xml:space="preserve">[9] </w:t>
      </w:r>
      <w:r>
        <w:rPr>
          <w:sz w:val="17"/>
        </w:rPr>
        <w:t>公开儿童行为健康资源对 DBT-A 的介绍。来源类型与用途：权威理论；public behavioral health resource；涉及 1 个 chunk；clinical_professional_theory_chunks.jsonl。URL：https:/​/​childrensbehavioralhealthresources.​nh.​gov/​families-​youth/​treatments-​supports/​dialectical-​behavior-​therapy-​adolescents-​dbt</w:t>
      </w:r>
    </w:p>
    <w:p>
      <w:pPr>
        <w:spacing w:after="80" w:line="252" w:lineRule="auto"/>
        <w:ind w:left="403" w:hanging="403"/>
      </w:pPr>
      <w:r>
        <w:rPr>
          <w:b/>
          <w:sz w:val="18"/>
        </w:rPr>
        <w:t xml:space="preserve">[10] </w:t>
      </w:r>
      <w:r>
        <w:rPr>
          <w:sz w:val="17"/>
        </w:rPr>
        <w:t>David D. Burns 关于常见认知扭曲的公开材料及 CBT 通俗化著作体系。来源类型与用途：权威理论；CBT clinical education source；涉及 1 个 chunk；clinical_authoritative_chunks.jsonl。URL：https:/​/​feelinggood.​com/​2014/​01/​06/​secrets-​of-​self-​esteem-​2-​negative-​and-​positive-​distortions/​amp/​</w:t>
      </w:r>
    </w:p>
    <w:p>
      <w:pPr>
        <w:spacing w:after="80" w:line="252" w:lineRule="auto"/>
        <w:ind w:left="403" w:hanging="403"/>
      </w:pPr>
      <w:r>
        <w:rPr>
          <w:b/>
          <w:sz w:val="18"/>
        </w:rPr>
        <w:t xml:space="preserve">[11] </w:t>
      </w:r>
      <w:r>
        <w:rPr>
          <w:sz w:val="17"/>
        </w:rPr>
        <w:t>David D. Burns 关于常见认知扭曲的公开材料及 CBT 通俗化著作体系。来源类型与用途：权威理论；CBT clinical education source；涉及 1 个 chunk；clinical_authoritative_chunks.jsonl。URL：https:/​/​feelinggood.​com/​wp-​content/​uploads/​2017/​04/​41656-​distortions-​v-​18.​pdf</w:t>
      </w:r>
    </w:p>
    <w:p>
      <w:pPr>
        <w:spacing w:after="80" w:line="252" w:lineRule="auto"/>
        <w:ind w:left="403" w:hanging="403"/>
      </w:pPr>
      <w:r>
        <w:rPr>
          <w:b/>
          <w:sz w:val="18"/>
        </w:rPr>
        <w:t xml:space="preserve">[12] </w:t>
      </w:r>
      <w:r>
        <w:rPr>
          <w:sz w:val="17"/>
        </w:rPr>
        <w:t>SoulChat类语料强调共情、倾听、认可与逐步引导倾诉。。来源类型与用途：话术规范；；涉及 1 个 chunk；dialogue_chunks.jsonl。URL：https:/​/​github.​com/​scutcyr/​SoulChat</w:t>
      </w:r>
    </w:p>
    <w:p>
      <w:pPr>
        <w:spacing w:after="80" w:line="252" w:lineRule="auto"/>
        <w:ind w:left="403" w:hanging="403"/>
      </w:pPr>
      <w:r>
        <w:rPr>
          <w:b/>
          <w:sz w:val="18"/>
        </w:rPr>
        <w:t xml:space="preserve">[13] </w:t>
      </w:r>
      <w:r>
        <w:rPr>
          <w:sz w:val="17"/>
        </w:rPr>
        <w:t>校园学习焦虑场景中，先共情再区分事实与比较性想法。。来源类型与用途：话术规范；；涉及 1 个 chunk；dialogue_chunks.jsonl。URL：https:/​/​github.​com/​thu-​coai/​PsyQA</w:t>
      </w:r>
    </w:p>
    <w:p>
      <w:pPr>
        <w:spacing w:after="80" w:line="252" w:lineRule="auto"/>
        <w:ind w:left="403" w:hanging="403"/>
      </w:pPr>
      <w:r>
        <w:rPr>
          <w:b/>
          <w:sz w:val="18"/>
        </w:rPr>
        <w:t xml:space="preserve">[14] </w:t>
      </w:r>
      <w:r>
        <w:rPr>
          <w:sz w:val="17"/>
        </w:rPr>
        <w:t>SoulChat类语料强调共情、倾听、认可与逐步引导倾诉。。来源类型与用途：话术规范；；涉及 1 个 chunk；dialogue_chunks.jsonl。URL：https:/​/​huggingface.​co/​datasets/​scutcyr/​SoulChatCorpus/​tree/​main</w:t>
      </w:r>
    </w:p>
    <w:p>
      <w:pPr>
        <w:spacing w:after="80" w:line="252" w:lineRule="auto"/>
        <w:ind w:left="403" w:hanging="403"/>
      </w:pPr>
      <w:r>
        <w:rPr>
          <w:b/>
          <w:sz w:val="18"/>
        </w:rPr>
        <w:t xml:space="preserve">[15] </w:t>
      </w:r>
      <w:r>
        <w:rPr>
          <w:sz w:val="17"/>
        </w:rPr>
        <w:t>International OCD Foundation ERP materials。来源类型与用途：权威理论；professional foundation education；涉及 1 个 chunk；clinical_professional_theory_chunks.jsonl。URL：https:/​/​iocdf.​org/​about-​ocd/​ocd-​treatment-​guide/​exposure-​response-​prevention/​</w:t>
      </w:r>
    </w:p>
    <w:p>
      <w:pPr>
        <w:spacing w:after="80" w:line="252" w:lineRule="auto"/>
        <w:ind w:left="403" w:hanging="403"/>
      </w:pPr>
      <w:r>
        <w:rPr>
          <w:b/>
          <w:sz w:val="18"/>
        </w:rPr>
        <w:t xml:space="preserve">[16] </w:t>
      </w:r>
      <w:r>
        <w:rPr>
          <w:sz w:val="17"/>
        </w:rPr>
        <w:t>International OCD Foundation ERP materials。来源类型与用途：权威理论；professional foundation education；涉及 1 个 chunk；clinical_professional_theory_chunks.jsonl。URL：https:/​/​iocdf.​org/​about-​ocd/​treatment/​erp/​</w:t>
      </w:r>
    </w:p>
    <w:p>
      <w:pPr>
        <w:spacing w:after="80" w:line="252" w:lineRule="auto"/>
        <w:ind w:left="403" w:hanging="403"/>
      </w:pPr>
      <w:r>
        <w:rPr>
          <w:b/>
          <w:sz w:val="18"/>
        </w:rPr>
        <w:t xml:space="preserve">[17] </w:t>
      </w:r>
      <w:r>
        <w:rPr>
          <w:sz w:val="17"/>
        </w:rPr>
        <w:t>AI不得提供药物处方、停药、换药或剂量调整建议。；AI可做心理教育和分层提示，不能做正式诊断或鉴别诊断。；RAG 检索应按证据等级、安全等级和场景匹配综合排序，并在冲突时优先采用更权威和更安全的条目。；World Health Org...。来源类型与用途：RAG治理规范；临床安全规范；权威指南；RAG governance rule；RAG governance rule derived from clinical safety sources；RAG safety synthesis；WHO guideline；clinical safety synthesis；涉及 7 个 chunk；clinical_authoritative_chunks.jsonl；clinical_professional_theory_chunks.jsonl。URL：https:/​/​iris.​who.​int/​handle/​10665/​250239</w:t>
      </w:r>
    </w:p>
    <w:p>
      <w:pPr>
        <w:spacing w:after="80" w:line="252" w:lineRule="auto"/>
        <w:ind w:left="403" w:hanging="403"/>
      </w:pPr>
      <w:r>
        <w:rPr>
          <w:b/>
          <w:sz w:val="18"/>
        </w:rPr>
        <w:t xml:space="preserve">[18] </w:t>
      </w:r>
      <w:r>
        <w:rPr>
          <w:sz w:val="17"/>
        </w:rPr>
        <w:t>WHO Doing What Matters in Times of Stress。来源类型与用途：权威理论；WHO self-help guide；涉及 1 个 chunk；clinical_professional_theory_chunks.jsonl。URL：https:/​/​iris.​who.​int/​handle/​10665/​331901</w:t>
      </w:r>
    </w:p>
    <w:p>
      <w:pPr>
        <w:spacing w:after="80" w:line="252" w:lineRule="auto"/>
        <w:ind w:left="403" w:hanging="403"/>
      </w:pPr>
      <w:r>
        <w:rPr>
          <w:b/>
          <w:sz w:val="18"/>
        </w:rPr>
        <w:t xml:space="preserve">[19] </w:t>
      </w:r>
      <w:r>
        <w:rPr>
          <w:sz w:val="17"/>
        </w:rPr>
        <w:t>SAMHSA trauma-informed approach resources。来源类型与用途：权威指南；SAMHSA guidance；涉及 1 个 chunk；clinical_professional_theory_chunks.jsonl。URL：https:/​/​library.​samhsa.​gov/​product/​samhsas-​concept-​trauma-​and-​guidance-​trauma-​informed-​approach/​sma14-​4884</w:t>
      </w:r>
    </w:p>
    <w:p>
      <w:pPr>
        <w:spacing w:after="80" w:line="252" w:lineRule="auto"/>
        <w:ind w:left="403" w:hanging="403"/>
      </w:pPr>
      <w:r>
        <w:rPr>
          <w:b/>
          <w:sz w:val="18"/>
        </w:rPr>
        <w:t xml:space="preserve">[20] </w:t>
      </w:r>
      <w:r>
        <w:rPr>
          <w:sz w:val="17"/>
        </w:rPr>
        <w:t>Motivational Interviewing OARS 公开训练资料。来源类型与用途：权威理论；professional training / NCBI Bookshelf；涉及 1 个 chunk；clinical_professional_theory_chunks.jsonl。URL：https:/​/​nida.​nih.​gov/​sites/​default/​files/​oarsessentialcommunicationtechniques.​pdf</w:t>
      </w:r>
    </w:p>
    <w:p>
      <w:pPr>
        <w:spacing w:after="80" w:line="252" w:lineRule="auto"/>
        <w:ind w:left="403" w:hanging="403"/>
      </w:pPr>
      <w:r>
        <w:rPr>
          <w:b/>
          <w:sz w:val="18"/>
        </w:rPr>
        <w:t xml:space="preserve">[21] </w:t>
      </w:r>
      <w:r>
        <w:rPr>
          <w:sz w:val="17"/>
        </w:rPr>
        <w:t>NCTSN 与 National Center for PTSD Psychological First Aid resources。来源类型与用途：权威指南；NCTSN/VA resource；涉及 1 个 chunk；clinical_professional_theory_chunks.jsonl。URL：https:/​/​ptsd.​va.​gov/​PTSD/​disaster_​events/​for_​providers/​psychological_​first_​aid.​asp</w:t>
      </w:r>
    </w:p>
    <w:p>
      <w:pPr>
        <w:spacing w:after="80" w:line="252" w:lineRule="auto"/>
        <w:ind w:left="403" w:hanging="403"/>
      </w:pPr>
      <w:r>
        <w:rPr>
          <w:b/>
          <w:sz w:val="18"/>
        </w:rPr>
        <w:t xml:space="preserve">[22] </w:t>
      </w:r>
      <w:r>
        <w:rPr>
          <w:sz w:val="17"/>
        </w:rPr>
        <w:t>American Academy of Pediatrics clinical report on suicide and suicide risk in adolescents.。来源类型与用途：权威指南；AAP clinical report；涉及 1 个 chunk；clinical_authoritative_chunks.jsonl。URL：https:/​/​publications.​aap.​org/​aapnews/​news/​27472/​Suicide-​risk-​in-​adolescents-​Updated-​report-​guides</w:t>
      </w:r>
    </w:p>
    <w:p>
      <w:pPr>
        <w:spacing w:after="80" w:line="252" w:lineRule="auto"/>
        <w:ind w:left="403" w:hanging="403"/>
      </w:pPr>
      <w:r>
        <w:rPr>
          <w:b/>
          <w:sz w:val="18"/>
        </w:rPr>
        <w:t xml:space="preserve">[23] </w:t>
      </w:r>
      <w:r>
        <w:rPr>
          <w:sz w:val="17"/>
        </w:rPr>
        <w:t>American Academy of Pediatrics, Guidelines for Adolescent Depression in Primary Care (GLAD-PC), Part I and Part II.。来源类型与用途：权威指南；AAP clinical practice guideline；涉及 1 个 chunk；clinical_authoritative_chunks.jsonl。URL：https:/​/​publications.​aap.​org/​pediatrics/​article/​141/​3/​e20174081/​37626/​Guidelines-​for-​Adolescent-​Depression-​in-​Primary</w:t>
      </w:r>
    </w:p>
    <w:p>
      <w:pPr>
        <w:spacing w:after="80" w:line="252" w:lineRule="auto"/>
        <w:ind w:left="403" w:hanging="403"/>
      </w:pPr>
      <w:r>
        <w:rPr>
          <w:b/>
          <w:sz w:val="18"/>
        </w:rPr>
        <w:t xml:space="preserve">[24] </w:t>
      </w:r>
      <w:r>
        <w:rPr>
          <w:sz w:val="17"/>
        </w:rPr>
        <w:t>American Academy of Pediatrics, Guidelines for Adolescent Depression in Primary Care (GLAD-PC), Part I and Part II.。来源类型与用途：权威指南；AAP clinical practice guideline；涉及 1 个 chunk；clinical_authoritative_chunks.jsonl。URL：https:/​/​publications.​aap.​org/​pediatrics/​article/​141/​3/​e20174082/​37627/​Guidelines-​for-​Adolescent-​Depression-​in-​Primary</w:t>
      </w:r>
    </w:p>
    <w:p>
      <w:pPr>
        <w:spacing w:after="80" w:line="252" w:lineRule="auto"/>
        <w:ind w:left="403" w:hanging="403"/>
      </w:pPr>
      <w:r>
        <w:rPr>
          <w:b/>
          <w:sz w:val="18"/>
        </w:rPr>
        <w:t xml:space="preserve">[25] </w:t>
      </w:r>
      <w:r>
        <w:rPr>
          <w:sz w:val="17"/>
        </w:rPr>
        <w:t>AACAP Official Action, Clinical Practice Guideline for the Assessment and Treatment of Children and Adolescents With ...。来源类型与用途：临床安全规范；权威指南；AACAP clinical practice guideline；RAG governance rule derived from clinical safety sources；涉及 2 个 chunk；clinical_authoritative_chunks.jsonl。URL：https:/​/​www.​aacap.​org/​AACAP/​Resources_​for_​Primary_​Care/​Practice_​Parameters_​and_​Resource_​Centers/​Practice_​Parameters</w:t>
      </w:r>
    </w:p>
    <w:p>
      <w:pPr>
        <w:spacing w:after="80" w:line="252" w:lineRule="auto"/>
        <w:ind w:left="403" w:hanging="403"/>
      </w:pPr>
      <w:r>
        <w:rPr>
          <w:b/>
          <w:sz w:val="18"/>
        </w:rPr>
        <w:t xml:space="preserve">[26] </w:t>
      </w:r>
      <w:r>
        <w:rPr>
          <w:sz w:val="17"/>
        </w:rPr>
        <w:t>Columbia-Suicide Severity Rating Scale 官方说明。来源类型与用途：权威工具；validated screening tool documentation；涉及 1 个 chunk；clinical_professional_theory_chunks.jsonl。URL：https:/​/​www.​columbiapsychiatry.​org/​research-​labs/​columbia-​suicide-​severity-​rating-​scale-​c-​ssrs</w:t>
      </w:r>
    </w:p>
    <w:p>
      <w:pPr>
        <w:spacing w:after="80" w:line="252" w:lineRule="auto"/>
        <w:ind w:left="403" w:hanging="403"/>
      </w:pPr>
      <w:r>
        <w:rPr>
          <w:b/>
          <w:sz w:val="18"/>
        </w:rPr>
        <w:t xml:space="preserve">[27] </w:t>
      </w:r>
      <w:r>
        <w:rPr>
          <w:sz w:val="17"/>
        </w:rPr>
        <w:t>国际临床原则需与中国校园家校社协同语境结合。。来源类型与用途：RAG治理规范；policy and RAG synthesis；涉及 1 个 chunk；clinical_professional_theory_chunks.jsonl。URL：https:/​/​www.​gov.​cn/​zhengce/​zhengceku/​2023-​05/​11/​content_​5755207.​htm</w:t>
      </w:r>
    </w:p>
    <w:p>
      <w:pPr>
        <w:spacing w:after="80" w:line="252" w:lineRule="auto"/>
        <w:ind w:left="403" w:hanging="403"/>
      </w:pPr>
      <w:r>
        <w:rPr>
          <w:b/>
          <w:sz w:val="18"/>
        </w:rPr>
        <w:t xml:space="preserve">[28] </w:t>
      </w:r>
      <w:r>
        <w:rPr>
          <w:sz w:val="17"/>
        </w:rPr>
        <w:t>中国学生心理健康相关政策文件，包括中小学心理健康教育指导纲要和新时代学生心理健康工作专项行动计划。来源类型与用途：权威政策；Chinese policy guideline；涉及 1 个 chunk；clinical_authoritative_chunks.jsonl。URL：https:/​/​www.​gov.​cn/​zhengce/​zhengceku/​202305/​content_​6857361.​htm</w:t>
      </w:r>
    </w:p>
    <w:p>
      <w:pPr>
        <w:spacing w:after="80" w:line="252" w:lineRule="auto"/>
        <w:ind w:left="403" w:hanging="403"/>
      </w:pPr>
      <w:r>
        <w:rPr>
          <w:b/>
          <w:sz w:val="18"/>
        </w:rPr>
        <w:t xml:space="preserve">[29] </w:t>
      </w:r>
      <w:r>
        <w:rPr>
          <w:sz w:val="17"/>
        </w:rPr>
        <w:t>Linehan Institute DBT skills overview。来源类型与用途：权威理论；professional institute theory；涉及 4 个 chunk；clinical_professional_theory_chunks.jsonl。URL：https:/​/​www.​linehaninstitute.​org/​what-​is-​dbt-​skills</w:t>
      </w:r>
    </w:p>
    <w:p>
      <w:pPr>
        <w:spacing w:after="80" w:line="252" w:lineRule="auto"/>
        <w:ind w:left="403" w:hanging="403"/>
      </w:pPr>
      <w:r>
        <w:rPr>
          <w:b/>
          <w:sz w:val="18"/>
        </w:rPr>
        <w:t xml:space="preserve">[30] </w:t>
      </w:r>
      <w:r>
        <w:rPr>
          <w:sz w:val="17"/>
        </w:rPr>
        <w:t>中国学生心理健康相关政策文件，包括中小学心理健康教育指导纲要和新时代学生心理健康工作专项行动计划。来源类型与用途：权威政策；Chinese policy guideline；涉及 1 个 chunk；clinical_authoritative_chunks.jsonl。URL：https:/​/​www.​moe.​gov.​cn/​srcsite/​A06/​s3325/​201212/​t20121211_​145679.​html</w:t>
      </w:r>
    </w:p>
    <w:p>
      <w:pPr>
        <w:spacing w:after="80" w:line="252" w:lineRule="auto"/>
        <w:ind w:left="403" w:hanging="403"/>
      </w:pPr>
      <w:r>
        <w:rPr>
          <w:b/>
          <w:sz w:val="18"/>
        </w:rPr>
        <w:t xml:space="preserve">[31] </w:t>
      </w:r>
      <w:r>
        <w:rPr>
          <w:sz w:val="17"/>
        </w:rPr>
        <w:t>中国学生心理健康相关政策文件，包括中小学心理健康教育指导纲要和新时代学生心理健康工作专项行动计划。来源类型与用途：权威政策；Chinese policy guideline；涉及 1 个 chunk；clinical_authoritative_chunks.jsonl。URL：https:/​/​www.​moe.​gov.​cn/​srcsite/​A17/​moe_​943/​moe_​946/​202305/​t20230511_​1059219.​html</w:t>
      </w:r>
    </w:p>
    <w:p>
      <w:pPr>
        <w:spacing w:after="80" w:line="252" w:lineRule="auto"/>
        <w:ind w:left="403" w:hanging="403"/>
      </w:pPr>
      <w:r>
        <w:rPr>
          <w:b/>
          <w:sz w:val="18"/>
        </w:rPr>
        <w:t xml:space="preserve">[32] </w:t>
      </w:r>
      <w:r>
        <w:rPr>
          <w:sz w:val="17"/>
        </w:rPr>
        <w:t>NICE Clinical Guideline CG28, Depression in children and young people: identification and management.。来源类型与用途：权威指南；NICE guideline；涉及 1 个 chunk；clinical_authoritative_chunks.jsonl。URL：https:/​/​www.​ncbi.​nlm.​nih.​gov/​books/​n/​nicecg28/​</w:t>
      </w:r>
    </w:p>
    <w:p>
      <w:pPr>
        <w:spacing w:after="80" w:line="252" w:lineRule="auto"/>
        <w:ind w:left="403" w:hanging="403"/>
      </w:pPr>
      <w:r>
        <w:rPr>
          <w:b/>
          <w:sz w:val="18"/>
        </w:rPr>
        <w:t xml:space="preserve">[33] </w:t>
      </w:r>
      <w:r>
        <w:rPr>
          <w:sz w:val="17"/>
        </w:rPr>
        <w:t>Motivational Interviewing OARS 公开训练资料；NICE drug misuse 与 motivational interviewing 相关公开指南；SAMHSA/NCBI Bookshelf Motiv...。来源类型与用途：权威指南；权威理论；NCBI Bookshelf / SAMHSA TIP；NICE guideline / SAMHSA TIP；professional training / NCBI Bookshelf；涉及 3 个 chunk；clinical_professional_theory_chunks.jsonl。URL：https:/​/​www.​ncbi.​nlm.​nih.​gov/​sites/​books/​NBK571068/​</w:t>
      </w:r>
    </w:p>
    <w:p>
      <w:pPr>
        <w:spacing w:after="80" w:line="252" w:lineRule="auto"/>
        <w:ind w:left="403" w:hanging="403"/>
      </w:pPr>
      <w:r>
        <w:rPr>
          <w:b/>
          <w:sz w:val="18"/>
        </w:rPr>
        <w:t xml:space="preserve">[34] </w:t>
      </w:r>
      <w:r>
        <w:rPr>
          <w:sz w:val="17"/>
        </w:rPr>
        <w:t>NCTSN TF-CBT materials 与 NICE PTSD 指南。来源类型与用途：权威理论；NCTSN / NICE guideline；涉及 1 个 chunk；clinical_professional_theory_chunks.jsonl。URL：https:/​/​www.​nctsn.​org/​</w:t>
      </w:r>
    </w:p>
    <w:p>
      <w:pPr>
        <w:spacing w:after="80" w:line="252" w:lineRule="auto"/>
        <w:ind w:left="403" w:hanging="403"/>
      </w:pPr>
      <w:r>
        <w:rPr>
          <w:b/>
          <w:sz w:val="18"/>
        </w:rPr>
        <w:t xml:space="preserve">[35] </w:t>
      </w:r>
      <w:r>
        <w:rPr>
          <w:sz w:val="17"/>
        </w:rPr>
        <w:t>NCTSN 与 National Center for PTSD Psychological First Aid resources。来源类型与用途：权威指南；NCTSN/VA resource；涉及 1 个 chunk；clinical_professional_theory_chunks.jsonl。URL：https:/​/​www.​nctsn.​org/​treatments-​and-​practices/​psychological-​first-​aid-​and-​skills-​for-​psychological-​recovery/​about-​pfa</w:t>
      </w:r>
    </w:p>
    <w:p>
      <w:pPr>
        <w:spacing w:after="80" w:line="252" w:lineRule="auto"/>
        <w:ind w:left="403" w:hanging="403"/>
      </w:pPr>
      <w:r>
        <w:rPr>
          <w:b/>
          <w:sz w:val="18"/>
        </w:rPr>
        <w:t xml:space="preserve">[36] </w:t>
      </w:r>
      <w:r>
        <w:rPr>
          <w:sz w:val="17"/>
        </w:rPr>
        <w:t>NICE CG155 Psychosis and schizophrenia in children and young people。来源类型与用途：权威指南；NICE guideline；涉及 1 个 chunk；clinical_professional_theory_chunks.jsonl。URL：https:/​/​www.​nice.​org.​uk/​guidance/​CG155/​chapter/​recommendations</w:t>
      </w:r>
    </w:p>
    <w:p>
      <w:pPr>
        <w:spacing w:after="80" w:line="252" w:lineRule="auto"/>
        <w:ind w:left="403" w:hanging="403"/>
      </w:pPr>
      <w:r>
        <w:rPr>
          <w:b/>
          <w:sz w:val="18"/>
        </w:rPr>
        <w:t xml:space="preserve">[37] </w:t>
      </w:r>
      <w:r>
        <w:rPr>
          <w:sz w:val="17"/>
        </w:rPr>
        <w:t>NICE Clinical Guideline CG159, Social anxiety disorder: recognition, assessment and treatment.。来源类型与用途：权威指南；NICE guideline；涉及 1 个 chunk；clinical_authoritative_chunks.jsonl。URL：https:/​/​www.​nice.​org.​uk/​guidance/​CG159/​chapter/​1-​Recommendations</w:t>
      </w:r>
    </w:p>
    <w:p>
      <w:pPr>
        <w:spacing w:after="80" w:line="252" w:lineRule="auto"/>
        <w:ind w:left="403" w:hanging="403"/>
      </w:pPr>
      <w:r>
        <w:rPr>
          <w:b/>
          <w:sz w:val="18"/>
        </w:rPr>
        <w:t xml:space="preserve">[38] </w:t>
      </w:r>
      <w:r>
        <w:rPr>
          <w:sz w:val="17"/>
        </w:rPr>
        <w:t>NICE Guideline NG69, Eating disorders: recognition and treatment.。来源类型与用途：权威指南；NICE guideline；涉及 1 个 chunk；clinical_authoritative_chunks.jsonl。URL：https:/​/​www.​nice.​org.​uk/​guidance/​NG69/​chapter/​recommendations</w:t>
      </w:r>
    </w:p>
    <w:p>
      <w:pPr>
        <w:spacing w:after="80" w:line="252" w:lineRule="auto"/>
        <w:ind w:left="403" w:hanging="403"/>
      </w:pPr>
      <w:r>
        <w:rPr>
          <w:b/>
          <w:sz w:val="18"/>
        </w:rPr>
        <w:t xml:space="preserve">[39] </w:t>
      </w:r>
      <w:r>
        <w:rPr>
          <w:sz w:val="17"/>
        </w:rPr>
        <w:t>NICE Clinical Guideline CG113, Generalised anxiety disorder and panic disorder in adults: management.。来源类型与用途：权威指南；NICE guideline；涉及 1 个 chunk；clinical_authoritative_chunks.jsonl。URL：https:/​/​www.​nice.​org.​uk/​guidance/​cg113</w:t>
      </w:r>
    </w:p>
    <w:p>
      <w:pPr>
        <w:spacing w:after="80" w:line="252" w:lineRule="auto"/>
        <w:ind w:left="403" w:hanging="403"/>
      </w:pPr>
      <w:r>
        <w:rPr>
          <w:b/>
          <w:sz w:val="18"/>
        </w:rPr>
        <w:t xml:space="preserve">[40] </w:t>
      </w:r>
      <w:r>
        <w:rPr>
          <w:sz w:val="17"/>
        </w:rPr>
        <w:t>NICE Clinical Guideline CG113, Generalised anxiety disorder and panic disorder in adults: management.。来源类型与用途：权威指南；NICE guideline；涉及 1 个 chunk；clinical_authoritative_chunks.jsonl。URL：https:/​/​www.​nice.​org.​uk/​guidance/​cg113/​chapter/​Recommendations</w:t>
      </w:r>
    </w:p>
    <w:p>
      <w:pPr>
        <w:spacing w:after="80" w:line="252" w:lineRule="auto"/>
        <w:ind w:left="403" w:hanging="403"/>
      </w:pPr>
      <w:r>
        <w:rPr>
          <w:b/>
          <w:sz w:val="18"/>
        </w:rPr>
        <w:t xml:space="preserve">[41] </w:t>
      </w:r>
      <w:r>
        <w:rPr>
          <w:sz w:val="17"/>
        </w:rPr>
        <w:t>NICE Clinical Guideline CG115, Alcohol-use disorders: diagnosis, assessment and management of harmful drinking and al...。来源类型与用途：权威指南；NICE guideline；涉及 1 个 chunk；clinical_authoritative_chunks.jsonl。URL：https:/​/​www.​nice.​org.​uk/​guidance/​cg115</w:t>
      </w:r>
    </w:p>
    <w:p>
      <w:pPr>
        <w:spacing w:after="80" w:line="252" w:lineRule="auto"/>
        <w:ind w:left="403" w:hanging="403"/>
      </w:pPr>
      <w:r>
        <w:rPr>
          <w:b/>
          <w:sz w:val="18"/>
        </w:rPr>
        <w:t xml:space="preserve">[42] </w:t>
      </w:r>
      <w:r>
        <w:rPr>
          <w:sz w:val="17"/>
        </w:rPr>
        <w:t>NICE Clinical Guideline CG115, Alcohol-use disorders: diagnosis, assessment and management of harmful drinking and al...。来源类型与用途：权威指南；NICE guideline；涉及 1 个 chunk；clinical_authoritative_chunks.jsonl。URL：https:/​/​www.​nice.​org.​uk/​guidance/​cg115/​chapter/​Recommendations</w:t>
      </w:r>
    </w:p>
    <w:p>
      <w:pPr>
        <w:spacing w:after="80" w:line="252" w:lineRule="auto"/>
        <w:ind w:left="403" w:hanging="403"/>
      </w:pPr>
      <w:r>
        <w:rPr>
          <w:b/>
          <w:sz w:val="18"/>
        </w:rPr>
        <w:t xml:space="preserve">[43] </w:t>
      </w:r>
      <w:r>
        <w:rPr>
          <w:sz w:val="17"/>
        </w:rPr>
        <w:t>NICE Clinical Guideline CG158, Antisocial behaviour and conduct disorders in children and young people: recognition a...。来源类型与用途：权威指南；NICE guideline；涉及 1 个 chunk；clinical_authoritative_chunks.jsonl。URL：https:/​/​www.​nice.​org.​uk/​guidance/​cg158</w:t>
      </w:r>
    </w:p>
    <w:p>
      <w:pPr>
        <w:spacing w:after="80" w:line="252" w:lineRule="auto"/>
        <w:ind w:left="403" w:hanging="403"/>
      </w:pPr>
      <w:r>
        <w:rPr>
          <w:b/>
          <w:sz w:val="18"/>
        </w:rPr>
        <w:t xml:space="preserve">[44] </w:t>
      </w:r>
      <w:r>
        <w:rPr>
          <w:sz w:val="17"/>
        </w:rPr>
        <w:t>NICE Clinical Guideline CG158, Antisocial behaviour and conduct disorders in children and young people: recognition a...。来源类型与用途：权威指南；NICE guideline；涉及 1 个 chunk；clinical_authoritative_chunks.jsonl。URL：https:/​/​www.​nice.​org.​uk/​guidance/​cg158/​chapter/​recommendations</w:t>
      </w:r>
    </w:p>
    <w:p>
      <w:pPr>
        <w:spacing w:after="80" w:line="252" w:lineRule="auto"/>
        <w:ind w:left="403" w:hanging="403"/>
      </w:pPr>
      <w:r>
        <w:rPr>
          <w:b/>
          <w:sz w:val="18"/>
        </w:rPr>
        <w:t xml:space="preserve">[45] </w:t>
      </w:r>
      <w:r>
        <w:rPr>
          <w:sz w:val="17"/>
        </w:rPr>
        <w:t>NICE Clinical Guideline CG170, Autism spectrum disorder in under 19s: support and management.。来源类型与用途：权威指南；NICE guideline；涉及 1 个 chunk；clinical_authoritative_chunks.jsonl。URL：https:/​/​www.​nice.​org.​uk/​guidance/​cg170</w:t>
      </w:r>
    </w:p>
    <w:p>
      <w:pPr>
        <w:spacing w:after="80" w:line="252" w:lineRule="auto"/>
        <w:ind w:left="403" w:hanging="403"/>
      </w:pPr>
      <w:r>
        <w:rPr>
          <w:b/>
          <w:sz w:val="18"/>
        </w:rPr>
        <w:t xml:space="preserve">[46] </w:t>
      </w:r>
      <w:r>
        <w:rPr>
          <w:sz w:val="17"/>
        </w:rPr>
        <w:t>NICE Clinical Guideline CG170, Autism spectrum disorder in under 19s: support and management.。来源类型与用途：权威指南；NICE guideline；涉及 1 个 chunk；clinical_authoritative_chunks.jsonl。URL：https:/​/​www.​nice.​org.​uk/​guidance/​cg170/​chapter/​Recommendations</w:t>
      </w:r>
    </w:p>
    <w:p>
      <w:pPr>
        <w:spacing w:after="80" w:line="252" w:lineRule="auto"/>
        <w:ind w:left="403" w:hanging="403"/>
      </w:pPr>
      <w:r>
        <w:rPr>
          <w:b/>
          <w:sz w:val="18"/>
        </w:rPr>
        <w:t xml:space="preserve">[47] </w:t>
      </w:r>
      <w:r>
        <w:rPr>
          <w:sz w:val="17"/>
        </w:rPr>
        <w:t>NICE Clinical Guideline CG185, Bipolar disorder: assessment and management.。来源类型与用途：权威指南；NICE guideline；涉及 1 个 chunk；clinical_authoritative_chunks.jsonl。URL：https:/​/​www.​nice.​org.​uk/​guidance/​cg185</w:t>
      </w:r>
    </w:p>
    <w:p>
      <w:pPr>
        <w:spacing w:after="80" w:line="252" w:lineRule="auto"/>
        <w:ind w:left="403" w:hanging="403"/>
      </w:pPr>
      <w:r>
        <w:rPr>
          <w:b/>
          <w:sz w:val="18"/>
        </w:rPr>
        <w:t xml:space="preserve">[48] </w:t>
      </w:r>
      <w:r>
        <w:rPr>
          <w:sz w:val="17"/>
        </w:rPr>
        <w:t>NICE Clinical Guideline CG31, Obsessive-compulsive disorder and body dysmorphic disorder: treatment.。来源类型与用途：权威指南；NICE guideline；涉及 1 个 chunk；clinical_authoritative_chunks.jsonl。URL：https:/​/​www.​nice.​org.​uk/​guidance/​cg31/​chapter/​Recommendations</w:t>
      </w:r>
    </w:p>
    <w:p>
      <w:pPr>
        <w:spacing w:after="80" w:line="252" w:lineRule="auto"/>
        <w:ind w:left="403" w:hanging="403"/>
      </w:pPr>
      <w:r>
        <w:rPr>
          <w:b/>
          <w:sz w:val="18"/>
        </w:rPr>
        <w:t xml:space="preserve">[49] </w:t>
      </w:r>
      <w:r>
        <w:rPr>
          <w:sz w:val="17"/>
        </w:rPr>
        <w:t>NICE Clinical Guideline CG78, Borderline personality disorder: recognition and management.。来源类型与用途：权威指南；NICE guideline；涉及 1 个 chunk；clinical_authoritative_chunks.jsonl。URL：https:/​/​www.​nice.​org.​uk/​guidance/​cg78</w:t>
      </w:r>
    </w:p>
    <w:p>
      <w:pPr>
        <w:spacing w:after="80" w:line="252" w:lineRule="auto"/>
        <w:ind w:left="403" w:hanging="403"/>
      </w:pPr>
      <w:r>
        <w:rPr>
          <w:b/>
          <w:sz w:val="18"/>
        </w:rPr>
        <w:t xml:space="preserve">[50] </w:t>
      </w:r>
      <w:r>
        <w:rPr>
          <w:sz w:val="17"/>
        </w:rPr>
        <w:t>NICE Clinical Guideline CG78, Borderline personality disorder: recognition and management.。来源类型与用途：权威指南；NICE guideline；涉及 1 个 chunk；clinical_authoritative_chunks.jsonl。URL：https:/​/​www.​nice.​org.​uk/​guidance/​cg78/​chapter/​1-​Guidance</w:t>
      </w:r>
    </w:p>
    <w:p>
      <w:pPr>
        <w:spacing w:after="80" w:line="252" w:lineRule="auto"/>
        <w:ind w:left="403" w:hanging="403"/>
      </w:pPr>
      <w:r>
        <w:rPr>
          <w:b/>
          <w:sz w:val="18"/>
        </w:rPr>
        <w:t xml:space="preserve">[51] </w:t>
      </w:r>
      <w:r>
        <w:rPr>
          <w:sz w:val="17"/>
        </w:rPr>
        <w:t>NICE Clinical Guideline CG89, Child maltreatment: when to suspect maltreatment in under 18s.。来源类型与用途：权威指南；NICE guideline；涉及 1 个 chunk；clinical_authoritative_chunks.jsonl。URL：https:/​/​www.​nice.​org.​uk/​guidance/​cg89</w:t>
      </w:r>
    </w:p>
    <w:p>
      <w:pPr>
        <w:spacing w:after="80" w:line="252" w:lineRule="auto"/>
        <w:ind w:left="403" w:hanging="403"/>
      </w:pPr>
      <w:r>
        <w:rPr>
          <w:b/>
          <w:sz w:val="18"/>
        </w:rPr>
        <w:t xml:space="preserve">[52] </w:t>
      </w:r>
      <w:r>
        <w:rPr>
          <w:sz w:val="17"/>
        </w:rPr>
        <w:t>NICE Clinical Guideline CG89, Child maltreatment: when to suspect maltreatment in under 18s.。来源类型与用途：权威指南；NICE guideline；涉及 1 个 chunk；clinical_authoritative_chunks.jsonl。URL：https:/​/​www.​nice.​org.​uk/​guidance/​cg89/​chapter/​Recommendations</w:t>
      </w:r>
    </w:p>
    <w:p>
      <w:pPr>
        <w:spacing w:after="80" w:line="252" w:lineRule="auto"/>
        <w:ind w:left="403" w:hanging="403"/>
      </w:pPr>
      <w:r>
        <w:rPr>
          <w:b/>
          <w:sz w:val="18"/>
        </w:rPr>
        <w:t xml:space="preserve">[53] </w:t>
      </w:r>
      <w:r>
        <w:rPr>
          <w:sz w:val="17"/>
        </w:rPr>
        <w:t>NICE NG10 Violence and aggression: short-term management。来源类型与用途：权威指南；NICE guideline；涉及 1 个 chunk；clinical_professional_theory_chunks.jsonl。URL：https:/​/​www.​nice.​org.​uk/​guidance/​ng10</w:t>
      </w:r>
    </w:p>
    <w:p>
      <w:pPr>
        <w:spacing w:after="80" w:line="252" w:lineRule="auto"/>
        <w:ind w:left="403" w:hanging="403"/>
      </w:pPr>
      <w:r>
        <w:rPr>
          <w:b/>
          <w:sz w:val="18"/>
        </w:rPr>
        <w:t xml:space="preserve">[54] </w:t>
      </w:r>
      <w:r>
        <w:rPr>
          <w:sz w:val="17"/>
        </w:rPr>
        <w:t>NICE NG10 Violence and aggression: short-term management。来源类型与用途：权威指南；NICE guideline；涉及 1 个 chunk；clinical_professional_theory_chunks.jsonl。URL：https:/​/​www.​nice.​org.​uk/​guidance/​ng10/​chapter/​Recommendations</w:t>
      </w:r>
    </w:p>
    <w:p>
      <w:pPr>
        <w:spacing w:after="80" w:line="252" w:lineRule="auto"/>
        <w:ind w:left="403" w:hanging="403"/>
      </w:pPr>
      <w:r>
        <w:rPr>
          <w:b/>
          <w:sz w:val="18"/>
        </w:rPr>
        <w:t xml:space="preserve">[55] </w:t>
      </w:r>
      <w:r>
        <w:rPr>
          <w:sz w:val="17"/>
        </w:rPr>
        <w:t>NCTSN TF-CBT materials 与 NICE PTSD 指南；NICE Guideline NG116, Post-traumatic stress disorder.；NICE NG116 PTSD recommend...。来源类型与用途：权威指南；权威理论；NCTSN / NICE guideline；NICE guideline；涉及 3 个 chunk；clinical_authoritative_chunks.jsonl；clinical_professional_theory_chunks.jsonl。URL：https:/​/​www.​nice.​org.​uk/​guidance/​ng116/​chapter/​1-​Recommendations</w:t>
      </w:r>
    </w:p>
    <w:p>
      <w:pPr>
        <w:spacing w:after="80" w:line="252" w:lineRule="auto"/>
        <w:ind w:left="403" w:hanging="403"/>
      </w:pPr>
      <w:r>
        <w:rPr>
          <w:b/>
          <w:sz w:val="18"/>
        </w:rPr>
        <w:t xml:space="preserve">[56] </w:t>
      </w:r>
      <w:r>
        <w:rPr>
          <w:sz w:val="17"/>
        </w:rPr>
        <w:t>CBT 行为激活与活动监测原则；NICE Guideline NG222, Depression in adults: treatment and management.。来源类型与用途：权威指南；权威理论；CBT / WHO PM+ principle；NICE guideline；涉及 2 个 chunk；clinical_authoritative_chunks.jsonl；clinical_professional_theory_chunks.jsonl。URL：https:/​/​www.​nice.​org.​uk/​guidance/​ng222</w:t>
      </w:r>
    </w:p>
    <w:p>
      <w:pPr>
        <w:spacing w:after="80" w:line="252" w:lineRule="auto"/>
        <w:ind w:left="403" w:hanging="403"/>
      </w:pPr>
      <w:r>
        <w:rPr>
          <w:b/>
          <w:sz w:val="18"/>
        </w:rPr>
        <w:t xml:space="preserve">[57] </w:t>
      </w:r>
      <w:r>
        <w:rPr>
          <w:sz w:val="17"/>
        </w:rPr>
        <w:t>NICE Guideline NG222, Depression in adults: treatment and management.。来源类型与用途：权威指南；NICE guideline；涉及 1 个 chunk；clinical_authoritative_chunks.jsonl。URL：https:/​/​www.​nice.​org.​uk/​guidance/​ng222/​chapter/​Recommendations</w:t>
      </w:r>
    </w:p>
    <w:p>
      <w:pPr>
        <w:spacing w:after="80" w:line="252" w:lineRule="auto"/>
        <w:ind w:left="403" w:hanging="403"/>
      </w:pPr>
      <w:r>
        <w:rPr>
          <w:b/>
          <w:sz w:val="18"/>
        </w:rPr>
        <w:t xml:space="preserve">[58] </w:t>
      </w:r>
      <w:r>
        <w:rPr>
          <w:sz w:val="17"/>
        </w:rPr>
        <w:t>NICE Guideline NG223, Social, emotional and mental wellbeing in primary and secondary education.。来源类型与用途：权威指南；NICE guideline；涉及 1 个 chunk；clinical_authoritative_chunks.jsonl。URL：https:/​/​www.​nice.​org.​uk/​guidance/​ng223</w:t>
      </w:r>
    </w:p>
    <w:p>
      <w:pPr>
        <w:spacing w:after="80" w:line="252" w:lineRule="auto"/>
        <w:ind w:left="403" w:hanging="403"/>
      </w:pPr>
      <w:r>
        <w:rPr>
          <w:b/>
          <w:sz w:val="18"/>
        </w:rPr>
        <w:t xml:space="preserve">[59] </w:t>
      </w:r>
      <w:r>
        <w:rPr>
          <w:sz w:val="17"/>
        </w:rPr>
        <w:t>NICE Guideline NG223, Social, emotional and mental wellbeing in primary and secondary education.。来源类型与用途：权威指南；NICE guideline；涉及 1 个 chunk；clinical_authoritative_chunks.jsonl。URL：https:/​/​www.​nice.​org.​uk/​guidance/​ng223/​chapter/​Recommendations</w:t>
      </w:r>
    </w:p>
    <w:p>
      <w:pPr>
        <w:spacing w:after="80" w:line="252" w:lineRule="auto"/>
        <w:ind w:left="403" w:hanging="403"/>
      </w:pPr>
      <w:r>
        <w:rPr>
          <w:b/>
          <w:sz w:val="18"/>
        </w:rPr>
        <w:t xml:space="preserve">[60] </w:t>
      </w:r>
      <w:r>
        <w:rPr>
          <w:sz w:val="17"/>
        </w:rPr>
        <w:t>NICE Guideline NG225, Self-harm: assessment, management and preventing recurrence.；RAG 检索应按证据等级、安全等级和场景匹配综合排序，并在冲突时优先...。来源类型与用途：RAG治理规范；临床安全规范；权威指南；NICE guideline；RAG governance rule；RAG governance rule derived from clinical safety sources；RAG safety synthesis；clinical safety synthesis；涉及 6 个 chunk；clinical_authoritative_chunks.jsonl；clinical_professional_theory_chunks.jsonl。URL：https:/​/​www.​nice.​org.​uk/​guidance/​ng225</w:t>
      </w:r>
    </w:p>
    <w:p>
      <w:pPr>
        <w:spacing w:after="80" w:line="252" w:lineRule="auto"/>
        <w:ind w:left="403" w:hanging="403"/>
      </w:pPr>
      <w:r>
        <w:rPr>
          <w:b/>
          <w:sz w:val="18"/>
        </w:rPr>
        <w:t xml:space="preserve">[61] </w:t>
      </w:r>
      <w:r>
        <w:rPr>
          <w:sz w:val="17"/>
        </w:rPr>
        <w:t>NICE Guideline NG225, Self-harm: assessment, management and preventing recurrence.。来源类型与用途：权威指南；NICE guideline；涉及 1 个 chunk；clinical_authoritative_chunks.jsonl。URL：https:/​/​www.​nice.​org.​uk/​guidance/​ng225/​chapter/​Recommendations</w:t>
      </w:r>
    </w:p>
    <w:p>
      <w:pPr>
        <w:spacing w:after="80" w:line="252" w:lineRule="auto"/>
        <w:ind w:left="403" w:hanging="403"/>
      </w:pPr>
      <w:r>
        <w:rPr>
          <w:b/>
          <w:sz w:val="18"/>
        </w:rPr>
        <w:t xml:space="preserve">[62] </w:t>
      </w:r>
      <w:r>
        <w:rPr>
          <w:sz w:val="17"/>
        </w:rPr>
        <w:t>NICE NG26 Children’s attachment。来源类型与用途：权威指南；NICE guideline；涉及 1 个 chunk；clinical_professional_theory_chunks.jsonl。URL：https:/​/​www.​nice.​org.​uk/​guidance/​ng26/​resources/​childrens-​attachment-​attachment-​in-​children-​and-​young-​people-​who-​are-​adopted-​from-​care-​in-​care-​or-​at-​high-​risk-​of-​going-​into-​care-​pdf-​1837335256261</w:t>
      </w:r>
    </w:p>
    <w:p>
      <w:pPr>
        <w:spacing w:after="80" w:line="252" w:lineRule="auto"/>
        <w:ind w:left="403" w:hanging="403"/>
      </w:pPr>
      <w:r>
        <w:rPr>
          <w:b/>
          <w:sz w:val="18"/>
        </w:rPr>
        <w:t xml:space="preserve">[63] </w:t>
      </w:r>
      <w:r>
        <w:rPr>
          <w:sz w:val="17"/>
        </w:rPr>
        <w:t>NICE Guideline NG64, Drug misuse prevention: targeted interventions.；NICE drug misuse 与 motivational interviewing 相关公开指南。来源类型与用途：权威指南；NICE guideline；NICE guideline / SAMHSA TIP；涉及 2 个 chunk；clinical_authoritative_chunks.jsonl；clinical_professional_theory_chunks.jsonl。URL：https:/​/​www.​nice.​org.​uk/​guidance/​ng64</w:t>
      </w:r>
    </w:p>
    <w:p>
      <w:pPr>
        <w:spacing w:after="80" w:line="252" w:lineRule="auto"/>
        <w:ind w:left="403" w:hanging="403"/>
      </w:pPr>
      <w:r>
        <w:rPr>
          <w:b/>
          <w:sz w:val="18"/>
        </w:rPr>
        <w:t xml:space="preserve">[64] </w:t>
      </w:r>
      <w:r>
        <w:rPr>
          <w:sz w:val="17"/>
        </w:rPr>
        <w:t>NICE Guideline NG64, Drug misuse prevention: targeted interventions.。来源类型与用途：权威指南；NICE guideline；涉及 1 个 chunk；clinical_authoritative_chunks.jsonl。URL：https:/​/​www.​nice.​org.​uk/​guidance/​ng64/​chapter/​recommendations</w:t>
      </w:r>
    </w:p>
    <w:p>
      <w:pPr>
        <w:spacing w:after="80" w:line="252" w:lineRule="auto"/>
        <w:ind w:left="403" w:hanging="403"/>
      </w:pPr>
      <w:r>
        <w:rPr>
          <w:b/>
          <w:sz w:val="18"/>
        </w:rPr>
        <w:t xml:space="preserve">[65] </w:t>
      </w:r>
      <w:r>
        <w:rPr>
          <w:sz w:val="17"/>
        </w:rPr>
        <w:t>NICE NG69 Eating disorders。来源类型与用途：权威指南；NICE guideline；涉及 1 个 chunk；clinical_professional_theory_chunks.jsonl。URL：https:/​/​www.​nice.​org.​uk/​guidance/​ng69</w:t>
      </w:r>
    </w:p>
    <w:p>
      <w:pPr>
        <w:spacing w:after="80" w:line="252" w:lineRule="auto"/>
        <w:ind w:left="403" w:hanging="403"/>
      </w:pPr>
      <w:r>
        <w:rPr>
          <w:b/>
          <w:sz w:val="18"/>
        </w:rPr>
        <w:t xml:space="preserve">[66] </w:t>
      </w:r>
      <w:r>
        <w:rPr>
          <w:sz w:val="17"/>
        </w:rPr>
        <w:t>NICE NG76 Child abuse and neglect；创伤知情原则、学校心理健康和未成年人保护指南的综合应用；未成年人心理支持应说明隐私尊重和安全例外。。来源类型与用途：临床安全规范；权威指南；NICE guideline；clinical safety synthesis；safety synthesis from guidelines；涉及 3 个 chunk；clinical_professional_theory_chunks.jsonl。URL：https:/​/​www.​nice.​org.​uk/​guidance/​ng76/​chapter/​recommendations</w:t>
      </w:r>
    </w:p>
    <w:p>
      <w:pPr>
        <w:spacing w:after="80" w:line="252" w:lineRule="auto"/>
        <w:ind w:left="403" w:hanging="403"/>
      </w:pPr>
      <w:r>
        <w:rPr>
          <w:b/>
          <w:sz w:val="18"/>
        </w:rPr>
        <w:t xml:space="preserve">[67] </w:t>
      </w:r>
      <w:r>
        <w:rPr>
          <w:sz w:val="17"/>
        </w:rPr>
        <w:t>NICE Guideline NG87, Attention deficit hyperactivity disorder: diagnosis and management.。来源类型与用途：权威指南；NICE guideline；涉及 1 个 chunk；clinical_authoritative_chunks.jsonl。URL：https:/​/​www.​nice.​org.​uk/​guidance/​ng87</w:t>
      </w:r>
    </w:p>
    <w:p>
      <w:pPr>
        <w:spacing w:after="80" w:line="252" w:lineRule="auto"/>
        <w:ind w:left="403" w:hanging="403"/>
      </w:pPr>
      <w:r>
        <w:rPr>
          <w:b/>
          <w:sz w:val="18"/>
        </w:rPr>
        <w:t xml:space="preserve">[68] </w:t>
      </w:r>
      <w:r>
        <w:rPr>
          <w:sz w:val="17"/>
        </w:rPr>
        <w:t>NICE Guideline NG87, Attention deficit hyperactivity disorder: diagnosis and management.。来源类型与用途：权威指南；NICE guideline；涉及 1 个 chunk；clinical_authoritative_chunks.jsonl。URL：https:/​/​www.​nice.​org.​uk/​guidance/​ng87/​chapter/​Recommendations</w:t>
      </w:r>
    </w:p>
    <w:p>
      <w:pPr>
        <w:spacing w:after="80" w:line="252" w:lineRule="auto"/>
        <w:ind w:left="403" w:hanging="403"/>
      </w:pPr>
      <w:r>
        <w:rPr>
          <w:b/>
          <w:sz w:val="18"/>
        </w:rPr>
        <w:t xml:space="preserve">[69] </w:t>
      </w:r>
      <w:r>
        <w:rPr>
          <w:sz w:val="17"/>
        </w:rPr>
        <w:t>NICE PH50 Domestic violence and abuse: multi-agency working。来源类型与用途：权威指南；NICE guideline；涉及 1 个 chunk；clinical_professional_theory_chunks.jsonl。URL：https:/​/​www.​nice.​org.​uk/​guidance/​ph50/​chapter/​recommendations</w:t>
      </w:r>
    </w:p>
    <w:p>
      <w:pPr>
        <w:spacing w:after="80" w:line="252" w:lineRule="auto"/>
        <w:ind w:left="403" w:hanging="403"/>
      </w:pPr>
      <w:r>
        <w:rPr>
          <w:b/>
          <w:sz w:val="18"/>
        </w:rPr>
        <w:t xml:space="preserve">[70] </w:t>
      </w:r>
      <w:r>
        <w:rPr>
          <w:sz w:val="17"/>
        </w:rPr>
        <w:t>SAMHSA trauma-informed approach resources；创伤知情原则、学校心理健康和未成年人保护指南的综合应用。来源类型与用途：临床安全规范；权威指南；SAMHSA guidance；safety synthesis from guidelines；涉及 2 个 chunk；clinical_professional_theory_chunks.jsonl。URL：https:/​/​www.​samhsa.​gov/​mental-​health/​trauma-​violence/​trauma-​informed-​care</w:t>
      </w:r>
    </w:p>
    <w:p>
      <w:pPr>
        <w:spacing w:after="80" w:line="252" w:lineRule="auto"/>
        <w:ind w:left="403" w:hanging="403"/>
      </w:pPr>
      <w:r>
        <w:rPr>
          <w:b/>
          <w:sz w:val="18"/>
        </w:rPr>
        <w:t xml:space="preserve">[71] </w:t>
      </w:r>
      <w:r>
        <w:rPr>
          <w:sz w:val="17"/>
        </w:rPr>
        <w:t>AACAP Official Action, Clinical Practice Guideline for the Assessment and Treatment of Children and Adolescents With ...。来源类型与用途：权威指南；AACAP clinical practice guideline；涉及 1 个 chunk；clinical_authoritative_chunks.jsonl。URL：https:/​/​www.​sciencedirect.​com/​science/​article/​pii/​S089085672030280X</w:t>
      </w:r>
    </w:p>
    <w:p>
      <w:pPr>
        <w:spacing w:after="80" w:line="252" w:lineRule="auto"/>
        <w:ind w:left="403" w:hanging="403"/>
      </w:pPr>
      <w:r>
        <w:rPr>
          <w:b/>
          <w:sz w:val="18"/>
        </w:rPr>
        <w:t xml:space="preserve">[72] </w:t>
      </w:r>
      <w:r>
        <w:rPr>
          <w:sz w:val="17"/>
        </w:rPr>
        <w:t>WHO Guidelines on mental health promotive and preventive interventions for adolescents: helping adolescents thrive (H...。来源类型与用途：权威指南；WHO guideline；涉及 1 个 chunk；clinical_authoritative_chunks.jsonl。URL：https:/​/​www.​who.​int/​docs/​default-​source/​mental-​health/​guidelines-​on-​mental-​health-​promotive-​and-​preventive-​interventions-​for-​adolescents-​hat.​pdf</w:t>
      </w:r>
    </w:p>
    <w:p>
      <w:pPr>
        <w:spacing w:after="80" w:line="252" w:lineRule="auto"/>
        <w:ind w:left="403" w:hanging="403"/>
      </w:pPr>
      <w:r>
        <w:rPr>
          <w:b/>
          <w:sz w:val="18"/>
        </w:rPr>
        <w:t xml:space="preserve">[73] </w:t>
      </w:r>
      <w:r>
        <w:rPr>
          <w:sz w:val="17"/>
        </w:rPr>
        <w:t>WHO Doing What Matters in Times of Stress。来源类型与用途：权威理论；WHO self-help guide；涉及 4 个 chunk；clinical_professional_theory_chunks.jsonl。URL：https:/​/​www.​who.​int/​publications/​i/​item/​9789240003927</w:t>
      </w:r>
    </w:p>
    <w:p>
      <w:pPr>
        <w:spacing w:after="80" w:line="252" w:lineRule="auto"/>
        <w:ind w:left="403" w:hanging="403"/>
      </w:pPr>
      <w:r>
        <w:rPr>
          <w:b/>
          <w:sz w:val="18"/>
        </w:rPr>
        <w:t xml:space="preserve">[74] </w:t>
      </w:r>
      <w:r>
        <w:rPr>
          <w:sz w:val="17"/>
        </w:rPr>
        <w:t>RAG 检索应按证据等级、安全等级和场景匹配综合排序，并在冲突时优先采用更权威和更安全的条目。；WHO Guidelines on mental health promotive and preventive intervention...。来源类型与用途：RAG治理规范；权威指南；RAG governance rule；WHO guideline；涉及 2 个 chunk；clinical_authoritative_chunks.jsonl。URL：https:/​/​www.​who.​int/​publications/​i/​item/​9789240011854</w:t>
      </w:r>
    </w:p>
    <w:p>
      <w:pPr>
        <w:spacing w:after="80" w:line="252" w:lineRule="auto"/>
        <w:ind w:left="403" w:hanging="403"/>
      </w:pPr>
      <w:r>
        <w:rPr>
          <w:b/>
          <w:sz w:val="18"/>
        </w:rPr>
        <w:t xml:space="preserve">[75] </w:t>
      </w:r>
      <w:r>
        <w:rPr>
          <w:sz w:val="17"/>
        </w:rPr>
        <w:t>CBT 行为激活与活动监测原则；WHO PM+ training manual；WHO Problem Management Plus (PM+) psychological intervention training manual。来源类型与用途：权威指南；权威理论；CBT / WHO PM+ principle；WHO manual；涉及 4 个 chunk；clinical_professional_theory_chunks.jsonl。URL：https:/​/​www.​who.​int/​publications/​i/​item/​9789240109926</w:t>
      </w:r>
    </w:p>
    <w:p>
      <w:pPr>
        <w:pStyle w:val="Heading2"/>
      </w:pPr>
      <w:r>
        <w:t>附录 C：无外部 URL 的内部规则与自建材料</w:t>
      </w:r>
    </w:p>
    <w:p>
      <w:r>
        <w:t>以下条目来自知识库中未填写 `source_urls` 的内部规则、政策摘编、对话规范或项目自建安全话术。`synthetic_case_chunks.jsonl` 共 120 条，均为项目自建校园心理支持合成场景，已在元数据中标注 `synthetic=true`、`case_status=fictional_cross_checked`、`abc_validated=true`，仅用于话术格式演示和测试，不作为真实临床病例引用。</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E8EEF5"/>
            <w:tcMar>
              <w:top w:w="80" w:type="dxa"/>
              <w:start w:w="120" w:type="dxa"/>
              <w:bottom w:w="80" w:type="dxa"/>
              <w:end w:w="120" w:type="dxa"/>
            </w:tcMar>
            <w:vAlign w:val="center"/>
          </w:tcPr>
          <w:p>
            <w:r>
              <w:rPr>
                <w:rFonts w:ascii="Calibri" w:hAnsi="Calibri" w:eastAsia="黑体"/>
                <w:b/>
              </w:rPr>
              <w:t>文件</w:t>
            </w:r>
          </w:p>
        </w:tc>
        <w:tc>
          <w:tcPr>
            <w:tcW w:type="dxa" w:w="2880"/>
            <w:shd w:fill="E8EEF5"/>
            <w:tcMar>
              <w:top w:w="80" w:type="dxa"/>
              <w:start w:w="120" w:type="dxa"/>
              <w:bottom w:w="80" w:type="dxa"/>
              <w:end w:w="120" w:type="dxa"/>
            </w:tcMar>
            <w:vAlign w:val="center"/>
          </w:tcPr>
          <w:p>
            <w:r>
              <w:rPr>
                <w:rFonts w:ascii="Calibri" w:hAnsi="Calibri" w:eastAsia="黑体"/>
                <w:b/>
              </w:rPr>
              <w:t>chunk_id</w:t>
            </w:r>
          </w:p>
        </w:tc>
        <w:tc>
          <w:tcPr>
            <w:tcW w:type="dxa" w:w="1440"/>
            <w:shd w:fill="E8EEF5"/>
            <w:tcMar>
              <w:top w:w="80" w:type="dxa"/>
              <w:start w:w="120" w:type="dxa"/>
              <w:bottom w:w="80" w:type="dxa"/>
              <w:end w:w="120" w:type="dxa"/>
            </w:tcMar>
            <w:vAlign w:val="center"/>
          </w:tcPr>
          <w:p>
            <w:r>
              <w:rPr>
                <w:rFonts w:ascii="Calibri" w:hAnsi="Calibri" w:eastAsia="黑体"/>
                <w:b/>
              </w:rPr>
              <w:t>类型</w:t>
            </w:r>
          </w:p>
        </w:tc>
        <w:tc>
          <w:tcPr>
            <w:tcW w:type="dxa" w:w="3456"/>
            <w:shd w:fill="E8EEF5"/>
            <w:tcMar>
              <w:top w:w="80" w:type="dxa"/>
              <w:start w:w="120" w:type="dxa"/>
              <w:bottom w:w="80" w:type="dxa"/>
              <w:end w:w="120" w:type="dxa"/>
            </w:tcMar>
            <w:vAlign w:val="center"/>
          </w:tcPr>
          <w:p>
            <w:r>
              <w:rPr>
                <w:rFonts w:ascii="Calibri" w:hAnsi="Calibri" w:eastAsia="黑体"/>
                <w:b/>
              </w:rPr>
              <w:t>说明</w:t>
            </w:r>
          </w:p>
        </w:tc>
      </w:tr>
      <w:tr>
        <w:tc>
          <w:tcPr>
            <w:tcW w:type="dxa" w:w="2592"/>
            <w:tcMar>
              <w:top w:w="80" w:type="dxa"/>
              <w:start w:w="120" w:type="dxa"/>
              <w:bottom w:w="80" w:type="dxa"/>
              <w:end w:w="120" w:type="dxa"/>
            </w:tcMar>
            <w:vAlign w:val="center"/>
          </w:tcPr>
          <w:p>
            <w:r>
              <w:t>cbt_chunks.jsonl</w:t>
            </w:r>
          </w:p>
        </w:tc>
        <w:tc>
          <w:tcPr>
            <w:tcW w:type="dxa" w:w="2880"/>
            <w:tcMar>
              <w:top w:w="80" w:type="dxa"/>
              <w:start w:w="120" w:type="dxa"/>
              <w:bottom w:w="80" w:type="dxa"/>
              <w:end w:w="120" w:type="dxa"/>
            </w:tcMar>
            <w:vAlign w:val="center"/>
          </w:tcPr>
          <w:p>
            <w:r>
              <w:t>cbt_burns_ten_distortions_005_sub01</w:t>
            </w:r>
          </w:p>
        </w:tc>
        <w:tc>
          <w:tcPr>
            <w:tcW w:type="dxa" w:w="1440"/>
            <w:tcMar>
              <w:top w:w="80" w:type="dxa"/>
              <w:start w:w="120" w:type="dxa"/>
              <w:bottom w:w="80" w:type="dxa"/>
              <w:end w:w="120" w:type="dxa"/>
            </w:tcMar>
            <w:vAlign w:val="center"/>
          </w:tcPr>
          <w:p>
            <w:r>
              <w:t>CBT理论</w:t>
            </w:r>
          </w:p>
        </w:tc>
        <w:tc>
          <w:tcPr>
            <w:tcW w:type="dxa" w:w="3456"/>
            <w:tcMar>
              <w:top w:w="80" w:type="dxa"/>
              <w:start w:w="120" w:type="dxa"/>
              <w:bottom w:w="80" w:type="dxa"/>
              <w:end w:w="120" w:type="dxa"/>
            </w:tcMar>
            <w:vAlign w:val="center"/>
          </w:tcPr>
          <w:p>
            <w:r>
              <w:t>整理常见认知扭曲类型及事实剥离识别线索。</w:t>
            </w:r>
          </w:p>
        </w:tc>
      </w:tr>
      <w:tr>
        <w:tc>
          <w:tcPr>
            <w:tcW w:type="dxa" w:w="2592"/>
            <w:tcMar>
              <w:top w:w="80" w:type="dxa"/>
              <w:start w:w="120" w:type="dxa"/>
              <w:bottom w:w="80" w:type="dxa"/>
              <w:end w:w="120" w:type="dxa"/>
            </w:tcMar>
            <w:vAlign w:val="center"/>
          </w:tcPr>
          <w:p>
            <w:r>
              <w:t>cbt_chunks.jsonl</w:t>
            </w:r>
          </w:p>
        </w:tc>
        <w:tc>
          <w:tcPr>
            <w:tcW w:type="dxa" w:w="2880"/>
            <w:tcMar>
              <w:top w:w="80" w:type="dxa"/>
              <w:start w:w="120" w:type="dxa"/>
              <w:bottom w:w="80" w:type="dxa"/>
              <w:end w:w="120" w:type="dxa"/>
            </w:tcMar>
            <w:vAlign w:val="center"/>
          </w:tcPr>
          <w:p>
            <w:r>
              <w:t>cbt_burns_ten_distortions_005_sub02</w:t>
            </w:r>
          </w:p>
        </w:tc>
        <w:tc>
          <w:tcPr>
            <w:tcW w:type="dxa" w:w="1440"/>
            <w:tcMar>
              <w:top w:w="80" w:type="dxa"/>
              <w:start w:w="120" w:type="dxa"/>
              <w:bottom w:w="80" w:type="dxa"/>
              <w:end w:w="120" w:type="dxa"/>
            </w:tcMar>
            <w:vAlign w:val="center"/>
          </w:tcPr>
          <w:p>
            <w:r>
              <w:t>CBT理论</w:t>
            </w:r>
          </w:p>
        </w:tc>
        <w:tc>
          <w:tcPr>
            <w:tcW w:type="dxa" w:w="3456"/>
            <w:tcMar>
              <w:top w:w="80" w:type="dxa"/>
              <w:start w:w="120" w:type="dxa"/>
              <w:bottom w:w="80" w:type="dxa"/>
              <w:end w:w="120" w:type="dxa"/>
            </w:tcMar>
            <w:vAlign w:val="center"/>
          </w:tcPr>
          <w:p>
            <w:r>
              <w:t>整理常见认知扭曲类型及事实剥离识别线索。</w:t>
            </w:r>
          </w:p>
        </w:tc>
      </w:tr>
      <w:tr>
        <w:tc>
          <w:tcPr>
            <w:tcW w:type="dxa" w:w="2592"/>
            <w:tcMar>
              <w:top w:w="80" w:type="dxa"/>
              <w:start w:w="120" w:type="dxa"/>
              <w:bottom w:w="80" w:type="dxa"/>
              <w:end w:w="120" w:type="dxa"/>
            </w:tcMar>
            <w:vAlign w:val="center"/>
          </w:tcPr>
          <w:p>
            <w:r>
              <w:t>cbt_chunks.jsonl</w:t>
            </w:r>
          </w:p>
        </w:tc>
        <w:tc>
          <w:tcPr>
            <w:tcW w:type="dxa" w:w="2880"/>
            <w:tcMar>
              <w:top w:w="80" w:type="dxa"/>
              <w:start w:w="120" w:type="dxa"/>
              <w:bottom w:w="80" w:type="dxa"/>
              <w:end w:w="120" w:type="dxa"/>
            </w:tcMar>
            <w:vAlign w:val="center"/>
          </w:tcPr>
          <w:p>
            <w:r>
              <w:t>cbt_rag_fact_separation_algorithm_006_sub01</w:t>
            </w:r>
          </w:p>
        </w:tc>
        <w:tc>
          <w:tcPr>
            <w:tcW w:type="dxa" w:w="1440"/>
            <w:tcMar>
              <w:top w:w="80" w:type="dxa"/>
              <w:start w:w="120" w:type="dxa"/>
              <w:bottom w:w="80" w:type="dxa"/>
              <w:end w:w="120" w:type="dxa"/>
            </w:tcMar>
            <w:vAlign w:val="center"/>
          </w:tcPr>
          <w:p>
            <w:r>
              <w:t>CBT理论</w:t>
            </w:r>
          </w:p>
        </w:tc>
        <w:tc>
          <w:tcPr>
            <w:tcW w:type="dxa" w:w="3456"/>
            <w:tcMar>
              <w:top w:w="80" w:type="dxa"/>
              <w:start w:w="120" w:type="dxa"/>
              <w:bottom w:w="80" w:type="dxa"/>
              <w:end w:w="120" w:type="dxa"/>
            </w:tcMar>
            <w:vAlign w:val="center"/>
          </w:tcPr>
          <w:p>
            <w:r>
              <w:t>把CBT技术转化为青少年事实剥离算法。</w:t>
            </w:r>
          </w:p>
        </w:tc>
      </w:tr>
      <w:tr>
        <w:tc>
          <w:tcPr>
            <w:tcW w:type="dxa" w:w="2592"/>
            <w:tcMar>
              <w:top w:w="80" w:type="dxa"/>
              <w:start w:w="120" w:type="dxa"/>
              <w:bottom w:w="80" w:type="dxa"/>
              <w:end w:w="120" w:type="dxa"/>
            </w:tcMar>
            <w:vAlign w:val="center"/>
          </w:tcPr>
          <w:p>
            <w:r>
              <w:t>cbt_chunks.jsonl</w:t>
            </w:r>
          </w:p>
        </w:tc>
        <w:tc>
          <w:tcPr>
            <w:tcW w:type="dxa" w:w="2880"/>
            <w:tcMar>
              <w:top w:w="80" w:type="dxa"/>
              <w:start w:w="120" w:type="dxa"/>
              <w:bottom w:w="80" w:type="dxa"/>
              <w:end w:w="120" w:type="dxa"/>
            </w:tcMar>
            <w:vAlign w:val="center"/>
          </w:tcPr>
          <w:p>
            <w:r>
              <w:t>cbt_rag_fact_separation_algorithm_006_sub02</w:t>
            </w:r>
          </w:p>
        </w:tc>
        <w:tc>
          <w:tcPr>
            <w:tcW w:type="dxa" w:w="1440"/>
            <w:tcMar>
              <w:top w:w="80" w:type="dxa"/>
              <w:start w:w="120" w:type="dxa"/>
              <w:bottom w:w="80" w:type="dxa"/>
              <w:end w:w="120" w:type="dxa"/>
            </w:tcMar>
            <w:vAlign w:val="center"/>
          </w:tcPr>
          <w:p>
            <w:r>
              <w:t>CBT理论</w:t>
            </w:r>
          </w:p>
        </w:tc>
        <w:tc>
          <w:tcPr>
            <w:tcW w:type="dxa" w:w="3456"/>
            <w:tcMar>
              <w:top w:w="80" w:type="dxa"/>
              <w:start w:w="120" w:type="dxa"/>
              <w:bottom w:w="80" w:type="dxa"/>
              <w:end w:w="120" w:type="dxa"/>
            </w:tcMar>
            <w:vAlign w:val="center"/>
          </w:tcPr>
          <w:p>
            <w:r>
              <w:t>把CBT技术转化为青少年事实剥离算法。</w:t>
            </w:r>
          </w:p>
        </w:tc>
      </w:tr>
      <w:tr>
        <w:tc>
          <w:tcPr>
            <w:tcW w:type="dxa" w:w="2592"/>
            <w:tcMar>
              <w:top w:w="80" w:type="dxa"/>
              <w:start w:w="120" w:type="dxa"/>
              <w:bottom w:w="80" w:type="dxa"/>
              <w:end w:w="120" w:type="dxa"/>
            </w:tcMar>
            <w:vAlign w:val="center"/>
          </w:tcPr>
          <w:p>
            <w:r>
              <w:t>cbt_chunks.jsonl</w:t>
            </w:r>
          </w:p>
        </w:tc>
        <w:tc>
          <w:tcPr>
            <w:tcW w:type="dxa" w:w="2880"/>
            <w:tcMar>
              <w:top w:w="80" w:type="dxa"/>
              <w:start w:w="120" w:type="dxa"/>
              <w:bottom w:w="80" w:type="dxa"/>
              <w:end w:w="120" w:type="dxa"/>
            </w:tcMar>
            <w:vAlign w:val="center"/>
          </w:tcPr>
          <w:p>
            <w:r>
              <w:t>cbt_rag_fact_separation_algorithm_006_sub03</w:t>
            </w:r>
          </w:p>
        </w:tc>
        <w:tc>
          <w:tcPr>
            <w:tcW w:type="dxa" w:w="1440"/>
            <w:tcMar>
              <w:top w:w="80" w:type="dxa"/>
              <w:start w:w="120" w:type="dxa"/>
              <w:bottom w:w="80" w:type="dxa"/>
              <w:end w:w="120" w:type="dxa"/>
            </w:tcMar>
            <w:vAlign w:val="center"/>
          </w:tcPr>
          <w:p>
            <w:r>
              <w:t>CBT理论</w:t>
            </w:r>
          </w:p>
        </w:tc>
        <w:tc>
          <w:tcPr>
            <w:tcW w:type="dxa" w:w="3456"/>
            <w:tcMar>
              <w:top w:w="80" w:type="dxa"/>
              <w:start w:w="120" w:type="dxa"/>
              <w:bottom w:w="80" w:type="dxa"/>
              <w:end w:w="120" w:type="dxa"/>
            </w:tcMar>
            <w:vAlign w:val="center"/>
          </w:tcPr>
          <w:p>
            <w:r>
              <w:t>把CBT技术转化为青少年事实剥离算法。</w:t>
            </w:r>
          </w:p>
        </w:tc>
      </w:tr>
      <w:tr>
        <w:tc>
          <w:tcPr>
            <w:tcW w:type="dxa" w:w="2592"/>
            <w:tcMar>
              <w:top w:w="80" w:type="dxa"/>
              <w:start w:w="120" w:type="dxa"/>
              <w:bottom w:w="80" w:type="dxa"/>
              <w:end w:w="120" w:type="dxa"/>
            </w:tcMar>
            <w:vAlign w:val="center"/>
          </w:tcPr>
          <w:p>
            <w:r>
              <w:t>dialogue_chunks.jsonl</w:t>
            </w:r>
          </w:p>
        </w:tc>
        <w:tc>
          <w:tcPr>
            <w:tcW w:type="dxa" w:w="2880"/>
            <w:tcMar>
              <w:top w:w="80" w:type="dxa"/>
              <w:start w:w="120" w:type="dxa"/>
              <w:bottom w:w="80" w:type="dxa"/>
              <w:end w:w="120" w:type="dxa"/>
            </w:tcMar>
            <w:vAlign w:val="center"/>
          </w:tcPr>
          <w:p>
            <w:r>
              <w:t>dialogue_smile_gaokao_exam_anxiety_002_sub01</w:t>
            </w:r>
          </w:p>
        </w:tc>
        <w:tc>
          <w:tcPr>
            <w:tcW w:type="dxa" w:w="1440"/>
            <w:tcMar>
              <w:top w:w="80" w:type="dxa"/>
              <w:start w:w="120" w:type="dxa"/>
              <w:bottom w:w="80" w:type="dxa"/>
              <w:end w:w="120" w:type="dxa"/>
            </w:tcMar>
            <w:vAlign w:val="center"/>
          </w:tcPr>
          <w:p>
            <w:r>
              <w:t>话术规范</w:t>
            </w:r>
          </w:p>
        </w:tc>
        <w:tc>
          <w:tcPr>
            <w:tcW w:type="dxa" w:w="3456"/>
            <w:tcMar>
              <w:top w:w="80" w:type="dxa"/>
              <w:start w:w="120" w:type="dxa"/>
              <w:bottom w:w="80" w:type="dxa"/>
              <w:end w:w="120" w:type="dxa"/>
            </w:tcMar>
            <w:vAlign w:val="center"/>
          </w:tcPr>
          <w:p>
            <w:r>
              <w:t>高考焦虑场景中，采用共情、澄清目标、制定计划的多轮支持。</w:t>
            </w:r>
          </w:p>
        </w:tc>
      </w:tr>
      <w:tr>
        <w:tc>
          <w:tcPr>
            <w:tcW w:type="dxa" w:w="2592"/>
            <w:tcMar>
              <w:top w:w="80" w:type="dxa"/>
              <w:start w:w="120" w:type="dxa"/>
              <w:bottom w:w="80" w:type="dxa"/>
              <w:end w:w="120" w:type="dxa"/>
            </w:tcMar>
            <w:vAlign w:val="center"/>
          </w:tcPr>
          <w:p>
            <w:r>
              <w:t>dialogue_chunks.jsonl</w:t>
            </w:r>
          </w:p>
        </w:tc>
        <w:tc>
          <w:tcPr>
            <w:tcW w:type="dxa" w:w="2880"/>
            <w:tcMar>
              <w:top w:w="80" w:type="dxa"/>
              <w:start w:w="120" w:type="dxa"/>
              <w:bottom w:w="80" w:type="dxa"/>
              <w:end w:w="120" w:type="dxa"/>
            </w:tcMar>
            <w:vAlign w:val="center"/>
          </w:tcPr>
          <w:p>
            <w:r>
              <w:t>dialogue_smile_gaokao_exam_anxiety_002_sub02</w:t>
            </w:r>
          </w:p>
        </w:tc>
        <w:tc>
          <w:tcPr>
            <w:tcW w:type="dxa" w:w="1440"/>
            <w:tcMar>
              <w:top w:w="80" w:type="dxa"/>
              <w:start w:w="120" w:type="dxa"/>
              <w:bottom w:w="80" w:type="dxa"/>
              <w:end w:w="120" w:type="dxa"/>
            </w:tcMar>
            <w:vAlign w:val="center"/>
          </w:tcPr>
          <w:p>
            <w:r>
              <w:t>话术规范</w:t>
            </w:r>
          </w:p>
        </w:tc>
        <w:tc>
          <w:tcPr>
            <w:tcW w:type="dxa" w:w="3456"/>
            <w:tcMar>
              <w:top w:w="80" w:type="dxa"/>
              <w:start w:w="120" w:type="dxa"/>
              <w:bottom w:w="80" w:type="dxa"/>
              <w:end w:w="120" w:type="dxa"/>
            </w:tcMar>
            <w:vAlign w:val="center"/>
          </w:tcPr>
          <w:p>
            <w:r>
              <w:t>高考焦虑场景中，采用共情、澄清目标、制定计划的多轮支持。</w:t>
            </w:r>
          </w:p>
        </w:tc>
      </w:tr>
      <w:tr>
        <w:tc>
          <w:tcPr>
            <w:tcW w:type="dxa" w:w="2592"/>
            <w:tcMar>
              <w:top w:w="80" w:type="dxa"/>
              <w:start w:w="120" w:type="dxa"/>
              <w:bottom w:w="80" w:type="dxa"/>
              <w:end w:w="120" w:type="dxa"/>
            </w:tcMar>
            <w:vAlign w:val="center"/>
          </w:tcPr>
          <w:p>
            <w:r>
              <w:t>dialogue_chunks.jsonl</w:t>
            </w:r>
          </w:p>
        </w:tc>
        <w:tc>
          <w:tcPr>
            <w:tcW w:type="dxa" w:w="2880"/>
            <w:tcMar>
              <w:top w:w="80" w:type="dxa"/>
              <w:start w:w="120" w:type="dxa"/>
              <w:bottom w:w="80" w:type="dxa"/>
              <w:end w:w="120" w:type="dxa"/>
            </w:tcMar>
            <w:vAlign w:val="center"/>
          </w:tcPr>
          <w:p>
            <w:r>
              <w:t>dialogue_smile_gaokao_exam_anxiety_002_sub03</w:t>
            </w:r>
          </w:p>
        </w:tc>
        <w:tc>
          <w:tcPr>
            <w:tcW w:type="dxa" w:w="1440"/>
            <w:tcMar>
              <w:top w:w="80" w:type="dxa"/>
              <w:start w:w="120" w:type="dxa"/>
              <w:bottom w:w="80" w:type="dxa"/>
              <w:end w:w="120" w:type="dxa"/>
            </w:tcMar>
            <w:vAlign w:val="center"/>
          </w:tcPr>
          <w:p>
            <w:r>
              <w:t>话术规范</w:t>
            </w:r>
          </w:p>
        </w:tc>
        <w:tc>
          <w:tcPr>
            <w:tcW w:type="dxa" w:w="3456"/>
            <w:tcMar>
              <w:top w:w="80" w:type="dxa"/>
              <w:start w:w="120" w:type="dxa"/>
              <w:bottom w:w="80" w:type="dxa"/>
              <w:end w:w="120" w:type="dxa"/>
            </w:tcMar>
            <w:vAlign w:val="center"/>
          </w:tcPr>
          <w:p>
            <w:r>
              <w:t>高考焦虑场景中，采用共情、澄清目标、制定计划的多轮支持。</w:t>
            </w:r>
          </w:p>
        </w:tc>
      </w:tr>
      <w:tr>
        <w:tc>
          <w:tcPr>
            <w:tcW w:type="dxa" w:w="2592"/>
            <w:tcMar>
              <w:top w:w="80" w:type="dxa"/>
              <w:start w:w="120" w:type="dxa"/>
              <w:bottom w:w="80" w:type="dxa"/>
              <w:end w:w="120" w:type="dxa"/>
            </w:tcMar>
            <w:vAlign w:val="center"/>
          </w:tcPr>
          <w:p>
            <w:r>
              <w:t>dialogue_chunks.jsonl</w:t>
            </w:r>
          </w:p>
        </w:tc>
        <w:tc>
          <w:tcPr>
            <w:tcW w:type="dxa" w:w="2880"/>
            <w:tcMar>
              <w:top w:w="80" w:type="dxa"/>
              <w:start w:w="120" w:type="dxa"/>
              <w:bottom w:w="80" w:type="dxa"/>
              <w:end w:w="120" w:type="dxa"/>
            </w:tcMar>
            <w:vAlign w:val="center"/>
          </w:tcPr>
          <w:p>
            <w:r>
              <w:t>dialogue_open_dataset_governance_004_sub01</w:t>
            </w:r>
          </w:p>
        </w:tc>
        <w:tc>
          <w:tcPr>
            <w:tcW w:type="dxa" w:w="1440"/>
            <w:tcMar>
              <w:top w:w="80" w:type="dxa"/>
              <w:start w:w="120" w:type="dxa"/>
              <w:bottom w:w="80" w:type="dxa"/>
              <w:end w:w="120" w:type="dxa"/>
            </w:tcMar>
            <w:vAlign w:val="center"/>
          </w:tcPr>
          <w:p>
            <w:r>
              <w:t>话术规范</w:t>
            </w:r>
          </w:p>
        </w:tc>
        <w:tc>
          <w:tcPr>
            <w:tcW w:type="dxa" w:w="3456"/>
            <w:tcMar>
              <w:top w:w="80" w:type="dxa"/>
              <w:start w:w="120" w:type="dxa"/>
              <w:bottom w:w="80" w:type="dxa"/>
              <w:end w:w="120" w:type="dxa"/>
            </w:tcMar>
            <w:vAlign w:val="center"/>
          </w:tcPr>
          <w:p>
            <w:r>
              <w:t>心理对话语料入库前需区分授权、合成数据与真实样本风险。</w:t>
            </w:r>
          </w:p>
        </w:tc>
      </w:tr>
      <w:tr>
        <w:tc>
          <w:tcPr>
            <w:tcW w:type="dxa" w:w="2592"/>
            <w:tcMar>
              <w:top w:w="80" w:type="dxa"/>
              <w:start w:w="120" w:type="dxa"/>
              <w:bottom w:w="80" w:type="dxa"/>
              <w:end w:w="120" w:type="dxa"/>
            </w:tcMar>
            <w:vAlign w:val="center"/>
          </w:tcPr>
          <w:p>
            <w:r>
              <w:t>dialogue_chunks.jsonl</w:t>
            </w:r>
          </w:p>
        </w:tc>
        <w:tc>
          <w:tcPr>
            <w:tcW w:type="dxa" w:w="2880"/>
            <w:tcMar>
              <w:top w:w="80" w:type="dxa"/>
              <w:start w:w="120" w:type="dxa"/>
              <w:bottom w:w="80" w:type="dxa"/>
              <w:end w:w="120" w:type="dxa"/>
            </w:tcMar>
            <w:vAlign w:val="center"/>
          </w:tcPr>
          <w:p>
            <w:r>
              <w:t>dialogue_open_dataset_governance_004_sub02</w:t>
            </w:r>
          </w:p>
        </w:tc>
        <w:tc>
          <w:tcPr>
            <w:tcW w:type="dxa" w:w="1440"/>
            <w:tcMar>
              <w:top w:w="80" w:type="dxa"/>
              <w:start w:w="120" w:type="dxa"/>
              <w:bottom w:w="80" w:type="dxa"/>
              <w:end w:w="120" w:type="dxa"/>
            </w:tcMar>
            <w:vAlign w:val="center"/>
          </w:tcPr>
          <w:p>
            <w:r>
              <w:t>话术规范</w:t>
            </w:r>
          </w:p>
        </w:tc>
        <w:tc>
          <w:tcPr>
            <w:tcW w:type="dxa" w:w="3456"/>
            <w:tcMar>
              <w:top w:w="80" w:type="dxa"/>
              <w:start w:w="120" w:type="dxa"/>
              <w:bottom w:w="80" w:type="dxa"/>
              <w:end w:w="120" w:type="dxa"/>
            </w:tcMar>
            <w:vAlign w:val="center"/>
          </w:tcPr>
          <w:p>
            <w:r>
              <w:t>心理对话语料入库前需区分授权、合成数据与真实样本风险。</w:t>
            </w:r>
          </w:p>
        </w:tc>
      </w:tr>
      <w:tr>
        <w:tc>
          <w:tcPr>
            <w:tcW w:type="dxa" w:w="2592"/>
            <w:tcMar>
              <w:top w:w="80" w:type="dxa"/>
              <w:start w:w="120" w:type="dxa"/>
              <w:bottom w:w="80" w:type="dxa"/>
              <w:end w:w="120" w:type="dxa"/>
            </w:tcMar>
            <w:vAlign w:val="center"/>
          </w:tcPr>
          <w:p>
            <w:r>
              <w:t>dialogue_chunks.jsonl</w:t>
            </w:r>
          </w:p>
        </w:tc>
        <w:tc>
          <w:tcPr>
            <w:tcW w:type="dxa" w:w="2880"/>
            <w:tcMar>
              <w:top w:w="80" w:type="dxa"/>
              <w:start w:w="120" w:type="dxa"/>
              <w:bottom w:w="80" w:type="dxa"/>
              <w:end w:w="120" w:type="dxa"/>
            </w:tcMar>
            <w:vAlign w:val="center"/>
          </w:tcPr>
          <w:p>
            <w:r>
              <w:t>dialogue_open_dataset_governance_004_sub03</w:t>
            </w:r>
          </w:p>
        </w:tc>
        <w:tc>
          <w:tcPr>
            <w:tcW w:type="dxa" w:w="1440"/>
            <w:tcMar>
              <w:top w:w="80" w:type="dxa"/>
              <w:start w:w="120" w:type="dxa"/>
              <w:bottom w:w="80" w:type="dxa"/>
              <w:end w:w="120" w:type="dxa"/>
            </w:tcMar>
            <w:vAlign w:val="center"/>
          </w:tcPr>
          <w:p>
            <w:r>
              <w:t>话术规范</w:t>
            </w:r>
          </w:p>
        </w:tc>
        <w:tc>
          <w:tcPr>
            <w:tcW w:type="dxa" w:w="3456"/>
            <w:tcMar>
              <w:top w:w="80" w:type="dxa"/>
              <w:start w:w="120" w:type="dxa"/>
              <w:bottom w:w="80" w:type="dxa"/>
              <w:end w:w="120" w:type="dxa"/>
            </w:tcMar>
            <w:vAlign w:val="center"/>
          </w:tcPr>
          <w:p>
            <w:r>
              <w:t>心理对话语料入库前需区分授权、合成数据与真实样本风险。</w:t>
            </w:r>
          </w:p>
        </w:tc>
      </w:tr>
      <w:tr>
        <w:tc>
          <w:tcPr>
            <w:tcW w:type="dxa" w:w="2592"/>
            <w:tcMar>
              <w:top w:w="80" w:type="dxa"/>
              <w:start w:w="120" w:type="dxa"/>
              <w:bottom w:w="80" w:type="dxa"/>
              <w:end w:w="120" w:type="dxa"/>
            </w:tcMar>
            <w:vAlign w:val="center"/>
          </w:tcPr>
          <w:p>
            <w:r>
              <w:t>policy_chunks.jsonl</w:t>
            </w:r>
          </w:p>
        </w:tc>
        <w:tc>
          <w:tcPr>
            <w:tcW w:type="dxa" w:w="2880"/>
            <w:tcMar>
              <w:top w:w="80" w:type="dxa"/>
              <w:start w:w="120" w:type="dxa"/>
              <w:bottom w:w="80" w:type="dxa"/>
              <w:end w:w="120" w:type="dxa"/>
            </w:tcMar>
            <w:vAlign w:val="center"/>
          </w:tcPr>
          <w:p>
            <w:r>
              <w:t>policy_mhe_2012_core_principles_001_sub02</w:t>
            </w:r>
          </w:p>
        </w:tc>
        <w:tc>
          <w:tcPr>
            <w:tcW w:type="dxa" w:w="1440"/>
            <w:tcMar>
              <w:top w:w="80" w:type="dxa"/>
              <w:start w:w="120" w:type="dxa"/>
              <w:bottom w:w="80" w:type="dxa"/>
              <w:end w:w="120" w:type="dxa"/>
            </w:tcMar>
            <w:vAlign w:val="center"/>
          </w:tcPr>
          <w:p>
            <w:r>
              <w:t>政策纲要</w:t>
            </w:r>
          </w:p>
        </w:tc>
        <w:tc>
          <w:tcPr>
            <w:tcW w:type="dxa" w:w="3456"/>
            <w:tcMar>
              <w:top w:w="80" w:type="dxa"/>
              <w:start w:w="120" w:type="dxa"/>
              <w:bottom w:w="80" w:type="dxa"/>
              <w:end w:w="120" w:type="dxa"/>
            </w:tcMar>
            <w:vAlign w:val="center"/>
          </w:tcPr>
          <w:p>
            <w:r>
              <w:t>概括中小学心理健康教育的目标、原则、内容、方法与伦理要求。</w:t>
            </w:r>
          </w:p>
        </w:tc>
      </w:tr>
      <w:tr>
        <w:tc>
          <w:tcPr>
            <w:tcW w:type="dxa" w:w="2592"/>
            <w:tcMar>
              <w:top w:w="80" w:type="dxa"/>
              <w:start w:w="120" w:type="dxa"/>
              <w:bottom w:w="80" w:type="dxa"/>
              <w:end w:w="120" w:type="dxa"/>
            </w:tcMar>
            <w:vAlign w:val="center"/>
          </w:tcPr>
          <w:p>
            <w:r>
              <w:t>policy_chunks.jsonl</w:t>
            </w:r>
          </w:p>
        </w:tc>
        <w:tc>
          <w:tcPr>
            <w:tcW w:type="dxa" w:w="2880"/>
            <w:tcMar>
              <w:top w:w="80" w:type="dxa"/>
              <w:start w:w="120" w:type="dxa"/>
              <w:bottom w:w="80" w:type="dxa"/>
              <w:end w:w="120" w:type="dxa"/>
            </w:tcMar>
            <w:vAlign w:val="center"/>
          </w:tcPr>
          <w:p>
            <w:r>
              <w:t>policy_mhe_2012_core_principles_001_sub01</w:t>
            </w:r>
          </w:p>
        </w:tc>
        <w:tc>
          <w:tcPr>
            <w:tcW w:type="dxa" w:w="1440"/>
            <w:tcMar>
              <w:top w:w="80" w:type="dxa"/>
              <w:start w:w="120" w:type="dxa"/>
              <w:bottom w:w="80" w:type="dxa"/>
              <w:end w:w="120" w:type="dxa"/>
            </w:tcMar>
            <w:vAlign w:val="center"/>
          </w:tcPr>
          <w:p>
            <w:r>
              <w:t>政策纲要</w:t>
            </w:r>
          </w:p>
        </w:tc>
        <w:tc>
          <w:tcPr>
            <w:tcW w:type="dxa" w:w="3456"/>
            <w:tcMar>
              <w:top w:w="80" w:type="dxa"/>
              <w:start w:w="120" w:type="dxa"/>
              <w:bottom w:w="80" w:type="dxa"/>
              <w:end w:w="120" w:type="dxa"/>
            </w:tcMar>
            <w:vAlign w:val="center"/>
          </w:tcPr>
          <w:p>
            <w:r>
              <w:t>概括中小学心理健康教育的目标、原则、内容、方法与伦理要求。</w:t>
            </w:r>
          </w:p>
        </w:tc>
      </w:tr>
      <w:tr>
        <w:tc>
          <w:tcPr>
            <w:tcW w:type="dxa" w:w="2592"/>
            <w:tcMar>
              <w:top w:w="80" w:type="dxa"/>
              <w:start w:w="120" w:type="dxa"/>
              <w:bottom w:w="80" w:type="dxa"/>
              <w:end w:w="120" w:type="dxa"/>
            </w:tcMar>
            <w:vAlign w:val="center"/>
          </w:tcPr>
          <w:p>
            <w:r>
              <w:t>policy_chunks.jsonl</w:t>
            </w:r>
          </w:p>
        </w:tc>
        <w:tc>
          <w:tcPr>
            <w:tcW w:type="dxa" w:w="2880"/>
            <w:tcMar>
              <w:top w:w="80" w:type="dxa"/>
              <w:start w:w="120" w:type="dxa"/>
              <w:bottom w:w="80" w:type="dxa"/>
              <w:end w:w="120" w:type="dxa"/>
            </w:tcMar>
            <w:vAlign w:val="center"/>
          </w:tcPr>
          <w:p>
            <w:r>
              <w:t>policy_mhe_2012_core_principles_001_sub02</w:t>
            </w:r>
          </w:p>
        </w:tc>
        <w:tc>
          <w:tcPr>
            <w:tcW w:type="dxa" w:w="1440"/>
            <w:tcMar>
              <w:top w:w="80" w:type="dxa"/>
              <w:start w:w="120" w:type="dxa"/>
              <w:bottom w:w="80" w:type="dxa"/>
              <w:end w:w="120" w:type="dxa"/>
            </w:tcMar>
            <w:vAlign w:val="center"/>
          </w:tcPr>
          <w:p>
            <w:r>
              <w:t>政策纲要</w:t>
            </w:r>
          </w:p>
        </w:tc>
        <w:tc>
          <w:tcPr>
            <w:tcW w:type="dxa" w:w="3456"/>
            <w:tcMar>
              <w:top w:w="80" w:type="dxa"/>
              <w:start w:w="120" w:type="dxa"/>
              <w:bottom w:w="80" w:type="dxa"/>
              <w:end w:w="120" w:type="dxa"/>
            </w:tcMar>
            <w:vAlign w:val="center"/>
          </w:tcPr>
          <w:p>
            <w:r>
              <w:t>概括中小学心理健康教育的目标、原则、内容、方法与伦理要求。</w:t>
            </w:r>
          </w:p>
        </w:tc>
      </w:tr>
      <w:tr>
        <w:tc>
          <w:tcPr>
            <w:tcW w:type="dxa" w:w="2592"/>
            <w:tcMar>
              <w:top w:w="80" w:type="dxa"/>
              <w:start w:w="120" w:type="dxa"/>
              <w:bottom w:w="80" w:type="dxa"/>
              <w:end w:w="120" w:type="dxa"/>
            </w:tcMar>
            <w:vAlign w:val="center"/>
          </w:tcPr>
          <w:p>
            <w:r>
              <w:t>policy_chunks.jsonl</w:t>
            </w:r>
          </w:p>
        </w:tc>
        <w:tc>
          <w:tcPr>
            <w:tcW w:type="dxa" w:w="2880"/>
            <w:tcMar>
              <w:top w:w="80" w:type="dxa"/>
              <w:start w:w="120" w:type="dxa"/>
              <w:bottom w:w="80" w:type="dxa"/>
              <w:end w:w="120" w:type="dxa"/>
            </w:tcMar>
            <w:vAlign w:val="center"/>
          </w:tcPr>
          <w:p>
            <w:r>
              <w:t>policy_mhe_2012_core_principles_001_sub03</w:t>
            </w:r>
          </w:p>
        </w:tc>
        <w:tc>
          <w:tcPr>
            <w:tcW w:type="dxa" w:w="1440"/>
            <w:tcMar>
              <w:top w:w="80" w:type="dxa"/>
              <w:start w:w="120" w:type="dxa"/>
              <w:bottom w:w="80" w:type="dxa"/>
              <w:end w:w="120" w:type="dxa"/>
            </w:tcMar>
            <w:vAlign w:val="center"/>
          </w:tcPr>
          <w:p>
            <w:r>
              <w:t>政策纲要</w:t>
            </w:r>
          </w:p>
        </w:tc>
        <w:tc>
          <w:tcPr>
            <w:tcW w:type="dxa" w:w="3456"/>
            <w:tcMar>
              <w:top w:w="80" w:type="dxa"/>
              <w:start w:w="120" w:type="dxa"/>
              <w:bottom w:w="80" w:type="dxa"/>
              <w:end w:w="120" w:type="dxa"/>
            </w:tcMar>
            <w:vAlign w:val="center"/>
          </w:tcPr>
          <w:p>
            <w:r>
              <w:t>概括中小学心理健康教育的目标、原则、内容、方法与伦理要求。</w:t>
            </w:r>
          </w:p>
        </w:tc>
      </w:tr>
      <w:tr>
        <w:tc>
          <w:tcPr>
            <w:tcW w:type="dxa" w:w="2592"/>
            <w:tcMar>
              <w:top w:w="80" w:type="dxa"/>
              <w:start w:w="120" w:type="dxa"/>
              <w:bottom w:w="80" w:type="dxa"/>
              <w:end w:w="120" w:type="dxa"/>
            </w:tcMar>
            <w:vAlign w:val="center"/>
          </w:tcPr>
          <w:p>
            <w:r>
              <w:t>policy_chunks.jsonl</w:t>
            </w:r>
          </w:p>
        </w:tc>
        <w:tc>
          <w:tcPr>
            <w:tcW w:type="dxa" w:w="2880"/>
            <w:tcMar>
              <w:top w:w="80" w:type="dxa"/>
              <w:start w:w="120" w:type="dxa"/>
              <w:bottom w:w="80" w:type="dxa"/>
              <w:end w:w="120" w:type="dxa"/>
            </w:tcMar>
            <w:vAlign w:val="center"/>
          </w:tcPr>
          <w:p>
            <w:r>
              <w:t>policy_mhe_2012_core_principles_001_sub04</w:t>
            </w:r>
          </w:p>
        </w:tc>
        <w:tc>
          <w:tcPr>
            <w:tcW w:type="dxa" w:w="1440"/>
            <w:tcMar>
              <w:top w:w="80" w:type="dxa"/>
              <w:start w:w="120" w:type="dxa"/>
              <w:bottom w:w="80" w:type="dxa"/>
              <w:end w:w="120" w:type="dxa"/>
            </w:tcMar>
            <w:vAlign w:val="center"/>
          </w:tcPr>
          <w:p>
            <w:r>
              <w:t>政策纲要</w:t>
            </w:r>
          </w:p>
        </w:tc>
        <w:tc>
          <w:tcPr>
            <w:tcW w:type="dxa" w:w="3456"/>
            <w:tcMar>
              <w:top w:w="80" w:type="dxa"/>
              <w:start w:w="120" w:type="dxa"/>
              <w:bottom w:w="80" w:type="dxa"/>
              <w:end w:w="120" w:type="dxa"/>
            </w:tcMar>
            <w:vAlign w:val="center"/>
          </w:tcPr>
          <w:p>
            <w:r>
              <w:t>概括中小学心理健康教育的目标、原则、内容、方法与伦理要求。</w:t>
            </w:r>
          </w:p>
        </w:tc>
      </w:tr>
      <w:tr>
        <w:tc>
          <w:tcPr>
            <w:tcW w:type="dxa" w:w="2592"/>
            <w:tcMar>
              <w:top w:w="80" w:type="dxa"/>
              <w:start w:w="120" w:type="dxa"/>
              <w:bottom w:w="80" w:type="dxa"/>
              <w:end w:w="120" w:type="dxa"/>
            </w:tcMar>
            <w:vAlign w:val="center"/>
          </w:tcPr>
          <w:p>
            <w:r>
              <w:t>policy_chunks.jsonl</w:t>
            </w:r>
          </w:p>
        </w:tc>
        <w:tc>
          <w:tcPr>
            <w:tcW w:type="dxa" w:w="2880"/>
            <w:tcMar>
              <w:top w:w="80" w:type="dxa"/>
              <w:start w:w="120" w:type="dxa"/>
              <w:bottom w:w="80" w:type="dxa"/>
              <w:end w:w="120" w:type="dxa"/>
            </w:tcMar>
            <w:vAlign w:val="center"/>
          </w:tcPr>
          <w:p>
            <w:r>
              <w:t>policy_mhe_2012_core_principles_001_sub05</w:t>
            </w:r>
          </w:p>
        </w:tc>
        <w:tc>
          <w:tcPr>
            <w:tcW w:type="dxa" w:w="1440"/>
            <w:tcMar>
              <w:top w:w="80" w:type="dxa"/>
              <w:start w:w="120" w:type="dxa"/>
              <w:bottom w:w="80" w:type="dxa"/>
              <w:end w:w="120" w:type="dxa"/>
            </w:tcMar>
            <w:vAlign w:val="center"/>
          </w:tcPr>
          <w:p>
            <w:r>
              <w:t>政策纲要</w:t>
            </w:r>
          </w:p>
        </w:tc>
        <w:tc>
          <w:tcPr>
            <w:tcW w:type="dxa" w:w="3456"/>
            <w:tcMar>
              <w:top w:w="80" w:type="dxa"/>
              <w:start w:w="120" w:type="dxa"/>
              <w:bottom w:w="80" w:type="dxa"/>
              <w:end w:w="120" w:type="dxa"/>
            </w:tcMar>
            <w:vAlign w:val="center"/>
          </w:tcPr>
          <w:p>
            <w:r>
              <w:t>概括中小学心理健康教育的目标、原则、内容、方法与伦理要求。</w:t>
            </w:r>
          </w:p>
        </w:tc>
      </w:tr>
      <w:tr>
        <w:tc>
          <w:tcPr>
            <w:tcW w:type="dxa" w:w="2592"/>
            <w:tcMar>
              <w:top w:w="80" w:type="dxa"/>
              <w:start w:w="120" w:type="dxa"/>
              <w:bottom w:w="80" w:type="dxa"/>
              <w:end w:w="120" w:type="dxa"/>
            </w:tcMar>
            <w:vAlign w:val="center"/>
          </w:tcPr>
          <w:p>
            <w:r>
              <w:t>policy_chunks.jsonl</w:t>
            </w:r>
          </w:p>
        </w:tc>
        <w:tc>
          <w:tcPr>
            <w:tcW w:type="dxa" w:w="2880"/>
            <w:tcMar>
              <w:top w:w="80" w:type="dxa"/>
              <w:start w:w="120" w:type="dxa"/>
              <w:bottom w:w="80" w:type="dxa"/>
              <w:end w:w="120" w:type="dxa"/>
            </w:tcMar>
            <w:vAlign w:val="center"/>
          </w:tcPr>
          <w:p>
            <w:r>
              <w:t>policy_mhe_action_plan_2023_2025_001_sub01</w:t>
            </w:r>
          </w:p>
        </w:tc>
        <w:tc>
          <w:tcPr>
            <w:tcW w:type="dxa" w:w="1440"/>
            <w:tcMar>
              <w:top w:w="80" w:type="dxa"/>
              <w:start w:w="120" w:type="dxa"/>
              <w:bottom w:w="80" w:type="dxa"/>
              <w:end w:w="120" w:type="dxa"/>
            </w:tcMar>
            <w:vAlign w:val="center"/>
          </w:tcPr>
          <w:p>
            <w:r>
              <w:t>政策纲要</w:t>
            </w:r>
          </w:p>
        </w:tc>
        <w:tc>
          <w:tcPr>
            <w:tcW w:type="dxa" w:w="3456"/>
            <w:tcMar>
              <w:top w:w="80" w:type="dxa"/>
              <w:start w:w="120" w:type="dxa"/>
              <w:bottom w:w="80" w:type="dxa"/>
              <w:end w:w="120" w:type="dxa"/>
            </w:tcMar>
            <w:vAlign w:val="center"/>
          </w:tcPr>
          <w:p>
            <w:r>
              <w:t>提炼新时代学生心理健康工作的体系建设、预警干预与协同治理要求。</w:t>
            </w:r>
          </w:p>
        </w:tc>
      </w:tr>
      <w:tr>
        <w:tc>
          <w:tcPr>
            <w:tcW w:type="dxa" w:w="2592"/>
            <w:tcMar>
              <w:top w:w="80" w:type="dxa"/>
              <w:start w:w="120" w:type="dxa"/>
              <w:bottom w:w="80" w:type="dxa"/>
              <w:end w:w="120" w:type="dxa"/>
            </w:tcMar>
            <w:vAlign w:val="center"/>
          </w:tcPr>
          <w:p>
            <w:r>
              <w:t>policy_chunks.jsonl</w:t>
            </w:r>
          </w:p>
        </w:tc>
        <w:tc>
          <w:tcPr>
            <w:tcW w:type="dxa" w:w="2880"/>
            <w:tcMar>
              <w:top w:w="80" w:type="dxa"/>
              <w:start w:w="120" w:type="dxa"/>
              <w:bottom w:w="80" w:type="dxa"/>
              <w:end w:w="120" w:type="dxa"/>
            </w:tcMar>
            <w:vAlign w:val="center"/>
          </w:tcPr>
          <w:p>
            <w:r>
              <w:t>policy_mhe_action_plan_2023_2025_001_sub02</w:t>
            </w:r>
          </w:p>
        </w:tc>
        <w:tc>
          <w:tcPr>
            <w:tcW w:type="dxa" w:w="1440"/>
            <w:tcMar>
              <w:top w:w="80" w:type="dxa"/>
              <w:start w:w="120" w:type="dxa"/>
              <w:bottom w:w="80" w:type="dxa"/>
              <w:end w:w="120" w:type="dxa"/>
            </w:tcMar>
            <w:vAlign w:val="center"/>
          </w:tcPr>
          <w:p>
            <w:r>
              <w:t>政策纲要</w:t>
            </w:r>
          </w:p>
        </w:tc>
        <w:tc>
          <w:tcPr>
            <w:tcW w:type="dxa" w:w="3456"/>
            <w:tcMar>
              <w:top w:w="80" w:type="dxa"/>
              <w:start w:w="120" w:type="dxa"/>
              <w:bottom w:w="80" w:type="dxa"/>
              <w:end w:w="120" w:type="dxa"/>
            </w:tcMar>
            <w:vAlign w:val="center"/>
          </w:tcPr>
          <w:p>
            <w:r>
              <w:t>提炼新时代学生心理健康工作的体系建设、预警干预与协同治理要求。</w:t>
            </w:r>
          </w:p>
        </w:tc>
      </w:tr>
      <w:tr>
        <w:tc>
          <w:tcPr>
            <w:tcW w:type="dxa" w:w="2592"/>
            <w:tcMar>
              <w:top w:w="80" w:type="dxa"/>
              <w:start w:w="120" w:type="dxa"/>
              <w:bottom w:w="80" w:type="dxa"/>
              <w:end w:w="120" w:type="dxa"/>
            </w:tcMar>
            <w:vAlign w:val="center"/>
          </w:tcPr>
          <w:p>
            <w:r>
              <w:t>policy_chunks.jsonl</w:t>
            </w:r>
          </w:p>
        </w:tc>
        <w:tc>
          <w:tcPr>
            <w:tcW w:type="dxa" w:w="2880"/>
            <w:tcMar>
              <w:top w:w="80" w:type="dxa"/>
              <w:start w:w="120" w:type="dxa"/>
              <w:bottom w:w="80" w:type="dxa"/>
              <w:end w:w="120" w:type="dxa"/>
            </w:tcMar>
            <w:vAlign w:val="center"/>
          </w:tcPr>
          <w:p>
            <w:r>
              <w:t>policy_mhe_action_plan_2023_2025_001_sub03</w:t>
            </w:r>
          </w:p>
        </w:tc>
        <w:tc>
          <w:tcPr>
            <w:tcW w:type="dxa" w:w="1440"/>
            <w:tcMar>
              <w:top w:w="80" w:type="dxa"/>
              <w:start w:w="120" w:type="dxa"/>
              <w:bottom w:w="80" w:type="dxa"/>
              <w:end w:w="120" w:type="dxa"/>
            </w:tcMar>
            <w:vAlign w:val="center"/>
          </w:tcPr>
          <w:p>
            <w:r>
              <w:t>政策纲要</w:t>
            </w:r>
          </w:p>
        </w:tc>
        <w:tc>
          <w:tcPr>
            <w:tcW w:type="dxa" w:w="3456"/>
            <w:tcMar>
              <w:top w:w="80" w:type="dxa"/>
              <w:start w:w="120" w:type="dxa"/>
              <w:bottom w:w="80" w:type="dxa"/>
              <w:end w:w="120" w:type="dxa"/>
            </w:tcMar>
            <w:vAlign w:val="center"/>
          </w:tcPr>
          <w:p>
            <w:r>
              <w:t>提炼新时代学生心理健康工作的体系建设、预警干预与协同治理要求。</w:t>
            </w:r>
          </w:p>
        </w:tc>
      </w:tr>
      <w:tr>
        <w:tc>
          <w:tcPr>
            <w:tcW w:type="dxa" w:w="2592"/>
            <w:tcMar>
              <w:top w:w="80" w:type="dxa"/>
              <w:start w:w="120" w:type="dxa"/>
              <w:bottom w:w="80" w:type="dxa"/>
              <w:end w:w="120" w:type="dxa"/>
            </w:tcMar>
            <w:vAlign w:val="center"/>
          </w:tcPr>
          <w:p>
            <w:r>
              <w:t>policy_chunks.jsonl</w:t>
            </w:r>
          </w:p>
        </w:tc>
        <w:tc>
          <w:tcPr>
            <w:tcW w:type="dxa" w:w="2880"/>
            <w:tcMar>
              <w:top w:w="80" w:type="dxa"/>
              <w:start w:w="120" w:type="dxa"/>
              <w:bottom w:w="80" w:type="dxa"/>
              <w:end w:w="120" w:type="dxa"/>
            </w:tcMar>
            <w:vAlign w:val="center"/>
          </w:tcPr>
          <w:p>
            <w:r>
              <w:t>policy_mhe_action_plan_2023_2025_001_sub04</w:t>
            </w:r>
          </w:p>
        </w:tc>
        <w:tc>
          <w:tcPr>
            <w:tcW w:type="dxa" w:w="1440"/>
            <w:tcMar>
              <w:top w:w="80" w:type="dxa"/>
              <w:start w:w="120" w:type="dxa"/>
              <w:bottom w:w="80" w:type="dxa"/>
              <w:end w:w="120" w:type="dxa"/>
            </w:tcMar>
            <w:vAlign w:val="center"/>
          </w:tcPr>
          <w:p>
            <w:r>
              <w:t>政策纲要</w:t>
            </w:r>
          </w:p>
        </w:tc>
        <w:tc>
          <w:tcPr>
            <w:tcW w:type="dxa" w:w="3456"/>
            <w:tcMar>
              <w:top w:w="80" w:type="dxa"/>
              <w:start w:w="120" w:type="dxa"/>
              <w:bottom w:w="80" w:type="dxa"/>
              <w:end w:w="120" w:type="dxa"/>
            </w:tcMar>
            <w:vAlign w:val="center"/>
          </w:tcPr>
          <w:p>
            <w:r>
              <w:t>提炼新时代学生心理健康工作的体系建设、预警干预与协同治理要求。</w:t>
            </w:r>
          </w:p>
        </w:tc>
      </w:tr>
      <w:tr>
        <w:tc>
          <w:tcPr>
            <w:tcW w:type="dxa" w:w="2592"/>
            <w:tcMar>
              <w:top w:w="80" w:type="dxa"/>
              <w:start w:w="120" w:type="dxa"/>
              <w:bottom w:w="80" w:type="dxa"/>
              <w:end w:w="120" w:type="dxa"/>
            </w:tcMar>
            <w:vAlign w:val="center"/>
          </w:tcPr>
          <w:p>
            <w:r>
              <w:t>policy_chunks.jsonl</w:t>
            </w:r>
          </w:p>
        </w:tc>
        <w:tc>
          <w:tcPr>
            <w:tcW w:type="dxa" w:w="2880"/>
            <w:tcMar>
              <w:top w:w="80" w:type="dxa"/>
              <w:start w:w="120" w:type="dxa"/>
              <w:bottom w:w="80" w:type="dxa"/>
              <w:end w:w="120" w:type="dxa"/>
            </w:tcMar>
            <w:vAlign w:val="center"/>
          </w:tcPr>
          <w:p>
            <w:r>
              <w:t>policy_mhe_action_plan_2023_2025_001_sub05</w:t>
            </w:r>
          </w:p>
        </w:tc>
        <w:tc>
          <w:tcPr>
            <w:tcW w:type="dxa" w:w="1440"/>
            <w:tcMar>
              <w:top w:w="80" w:type="dxa"/>
              <w:start w:w="120" w:type="dxa"/>
              <w:bottom w:w="80" w:type="dxa"/>
              <w:end w:w="120" w:type="dxa"/>
            </w:tcMar>
            <w:vAlign w:val="center"/>
          </w:tcPr>
          <w:p>
            <w:r>
              <w:t>政策纲要</w:t>
            </w:r>
          </w:p>
        </w:tc>
        <w:tc>
          <w:tcPr>
            <w:tcW w:type="dxa" w:w="3456"/>
            <w:tcMar>
              <w:top w:w="80" w:type="dxa"/>
              <w:start w:w="120" w:type="dxa"/>
              <w:bottom w:w="80" w:type="dxa"/>
              <w:end w:w="120" w:type="dxa"/>
            </w:tcMar>
            <w:vAlign w:val="center"/>
          </w:tcPr>
          <w:p>
            <w:r>
              <w:t>提炼新时代学生心理健康工作的体系建设、预警干预与协同治理要求。</w:t>
            </w:r>
          </w:p>
        </w:tc>
      </w:tr>
      <w:tr>
        <w:tc>
          <w:tcPr>
            <w:tcW w:type="dxa" w:w="2592"/>
            <w:tcMar>
              <w:top w:w="80" w:type="dxa"/>
              <w:start w:w="120" w:type="dxa"/>
              <w:bottom w:w="80" w:type="dxa"/>
              <w:end w:w="120" w:type="dxa"/>
            </w:tcMar>
            <w:vAlign w:val="center"/>
          </w:tcPr>
          <w:p>
            <w:r>
              <w:t>policy_chunks.jsonl</w:t>
            </w:r>
          </w:p>
        </w:tc>
        <w:tc>
          <w:tcPr>
            <w:tcW w:type="dxa" w:w="2880"/>
            <w:tcMar>
              <w:top w:w="80" w:type="dxa"/>
              <w:start w:w="120" w:type="dxa"/>
              <w:bottom w:w="80" w:type="dxa"/>
              <w:end w:w="120" w:type="dxa"/>
            </w:tcMar>
            <w:vAlign w:val="center"/>
          </w:tcPr>
          <w:p>
            <w:r>
              <w:t>policy_mhe_action_plan_2023_2025_001_sub06</w:t>
            </w:r>
          </w:p>
        </w:tc>
        <w:tc>
          <w:tcPr>
            <w:tcW w:type="dxa" w:w="1440"/>
            <w:tcMar>
              <w:top w:w="80" w:type="dxa"/>
              <w:start w:w="120" w:type="dxa"/>
              <w:bottom w:w="80" w:type="dxa"/>
              <w:end w:w="120" w:type="dxa"/>
            </w:tcMar>
            <w:vAlign w:val="center"/>
          </w:tcPr>
          <w:p>
            <w:r>
              <w:t>政策纲要</w:t>
            </w:r>
          </w:p>
        </w:tc>
        <w:tc>
          <w:tcPr>
            <w:tcW w:type="dxa" w:w="3456"/>
            <w:tcMar>
              <w:top w:w="80" w:type="dxa"/>
              <w:start w:w="120" w:type="dxa"/>
              <w:bottom w:w="80" w:type="dxa"/>
              <w:end w:w="120" w:type="dxa"/>
            </w:tcMar>
            <w:vAlign w:val="center"/>
          </w:tcPr>
          <w:p>
            <w:r>
              <w:t>提炼新时代学生心理健康工作的体系建设、预警干预与协同治理要求。</w:t>
            </w:r>
          </w:p>
        </w:tc>
      </w:tr>
      <w:tr>
        <w:tc>
          <w:tcPr>
            <w:tcW w:type="dxa" w:w="2592"/>
            <w:tcMar>
              <w:top w:w="80" w:type="dxa"/>
              <w:start w:w="120" w:type="dxa"/>
              <w:bottom w:w="80" w:type="dxa"/>
              <w:end w:w="120" w:type="dxa"/>
            </w:tcMar>
            <w:vAlign w:val="center"/>
          </w:tcPr>
          <w:p>
            <w:r>
              <w:t>policy_chunks.jsonl</w:t>
            </w:r>
          </w:p>
        </w:tc>
        <w:tc>
          <w:tcPr>
            <w:tcW w:type="dxa" w:w="2880"/>
            <w:tcMar>
              <w:top w:w="80" w:type="dxa"/>
              <w:start w:w="120" w:type="dxa"/>
              <w:bottom w:w="80" w:type="dxa"/>
              <w:end w:w="120" w:type="dxa"/>
            </w:tcMar>
            <w:vAlign w:val="center"/>
          </w:tcPr>
          <w:p>
            <w:r>
              <w:t>policy_mhe_action_plan_2023_2025_001_sub07</w:t>
            </w:r>
          </w:p>
        </w:tc>
        <w:tc>
          <w:tcPr>
            <w:tcW w:type="dxa" w:w="1440"/>
            <w:tcMar>
              <w:top w:w="80" w:type="dxa"/>
              <w:start w:w="120" w:type="dxa"/>
              <w:bottom w:w="80" w:type="dxa"/>
              <w:end w:w="120" w:type="dxa"/>
            </w:tcMar>
            <w:vAlign w:val="center"/>
          </w:tcPr>
          <w:p>
            <w:r>
              <w:t>政策纲要</w:t>
            </w:r>
          </w:p>
        </w:tc>
        <w:tc>
          <w:tcPr>
            <w:tcW w:type="dxa" w:w="3456"/>
            <w:tcMar>
              <w:top w:w="80" w:type="dxa"/>
              <w:start w:w="120" w:type="dxa"/>
              <w:bottom w:w="80" w:type="dxa"/>
              <w:end w:w="120" w:type="dxa"/>
            </w:tcMar>
            <w:vAlign w:val="center"/>
          </w:tcPr>
          <w:p>
            <w:r>
              <w:t>提炼新时代学生心理健康工作的体系建设、预警干预与协同治理要求。</w:t>
            </w:r>
          </w:p>
        </w:tc>
      </w:tr>
      <w:tr>
        <w:tc>
          <w:tcPr>
            <w:tcW w:type="dxa" w:w="2592"/>
            <w:tcMar>
              <w:top w:w="80" w:type="dxa"/>
              <w:start w:w="120" w:type="dxa"/>
              <w:bottom w:w="80" w:type="dxa"/>
              <w:end w:w="120" w:type="dxa"/>
            </w:tcMar>
            <w:vAlign w:val="center"/>
          </w:tcPr>
          <w:p>
            <w:r>
              <w:t>policy_chunks.jsonl</w:t>
            </w:r>
          </w:p>
        </w:tc>
        <w:tc>
          <w:tcPr>
            <w:tcW w:type="dxa" w:w="2880"/>
            <w:tcMar>
              <w:top w:w="80" w:type="dxa"/>
              <w:start w:w="120" w:type="dxa"/>
              <w:bottom w:w="80" w:type="dxa"/>
              <w:end w:w="120" w:type="dxa"/>
            </w:tcMar>
            <w:vAlign w:val="center"/>
          </w:tcPr>
          <w:p>
            <w:r>
              <w:t>policy_mhe_action_plan_2023_2025_001_sub08</w:t>
            </w:r>
          </w:p>
        </w:tc>
        <w:tc>
          <w:tcPr>
            <w:tcW w:type="dxa" w:w="1440"/>
            <w:tcMar>
              <w:top w:w="80" w:type="dxa"/>
              <w:start w:w="120" w:type="dxa"/>
              <w:bottom w:w="80" w:type="dxa"/>
              <w:end w:w="120" w:type="dxa"/>
            </w:tcMar>
            <w:vAlign w:val="center"/>
          </w:tcPr>
          <w:p>
            <w:r>
              <w:t>政策纲要</w:t>
            </w:r>
          </w:p>
        </w:tc>
        <w:tc>
          <w:tcPr>
            <w:tcW w:type="dxa" w:w="3456"/>
            <w:tcMar>
              <w:top w:w="80" w:type="dxa"/>
              <w:start w:w="120" w:type="dxa"/>
              <w:bottom w:w="80" w:type="dxa"/>
              <w:end w:w="120" w:type="dxa"/>
            </w:tcMar>
            <w:vAlign w:val="center"/>
          </w:tcPr>
          <w:p>
            <w:r>
              <w:t>提炼新时代学生心理健康工作的体系建设、预警干预与协同治理要求。</w:t>
            </w:r>
          </w:p>
        </w:tc>
      </w:tr>
      <w:tr>
        <w:tc>
          <w:tcPr>
            <w:tcW w:type="dxa" w:w="2592"/>
            <w:tcMar>
              <w:top w:w="80" w:type="dxa"/>
              <w:start w:w="120" w:type="dxa"/>
              <w:bottom w:w="80" w:type="dxa"/>
              <w:end w:w="120" w:type="dxa"/>
            </w:tcMar>
            <w:vAlign w:val="center"/>
          </w:tcPr>
          <w:p>
            <w:r>
              <w:t>safety_chunks.jsonl</w:t>
            </w:r>
          </w:p>
        </w:tc>
        <w:tc>
          <w:tcPr>
            <w:tcW w:type="dxa" w:w="2880"/>
            <w:tcMar>
              <w:top w:w="80" w:type="dxa"/>
              <w:start w:w="120" w:type="dxa"/>
              <w:bottom w:w="80" w:type="dxa"/>
              <w:end w:w="120" w:type="dxa"/>
            </w:tcMar>
            <w:vAlign w:val="center"/>
          </w:tcPr>
          <w:p>
            <w:r>
              <w:t>safety_crisis_001</w:t>
            </w:r>
          </w:p>
        </w:tc>
        <w:tc>
          <w:tcPr>
            <w:tcW w:type="dxa" w:w="1440"/>
            <w:tcMar>
              <w:top w:w="80" w:type="dxa"/>
              <w:start w:w="120" w:type="dxa"/>
              <w:bottom w:w="80" w:type="dxa"/>
              <w:end w:w="120" w:type="dxa"/>
            </w:tcMar>
            <w:vAlign w:val="center"/>
          </w:tcPr>
          <w:p>
            <w:r>
              <w:t>话术规范</w:t>
            </w:r>
          </w:p>
        </w:tc>
        <w:tc>
          <w:tcPr>
            <w:tcW w:type="dxa" w:w="3456"/>
            <w:tcMar>
              <w:top w:w="80" w:type="dxa"/>
              <w:start w:w="120" w:type="dxa"/>
              <w:bottom w:w="80" w:type="dxa"/>
              <w:end w:w="120" w:type="dxa"/>
            </w:tcMar>
            <w:vAlign w:val="center"/>
          </w:tcPr>
          <w:p>
            <w:r>
              <w:t>面对危机信号的处理原则。</w:t>
            </w:r>
          </w:p>
        </w:tc>
      </w:tr>
      <w:tr>
        <w:tc>
          <w:tcPr>
            <w:tcW w:type="dxa" w:w="2592"/>
            <w:tcMar>
              <w:top w:w="80" w:type="dxa"/>
              <w:start w:w="120" w:type="dxa"/>
              <w:bottom w:w="80" w:type="dxa"/>
              <w:end w:w="120" w:type="dxa"/>
            </w:tcMar>
            <w:vAlign w:val="center"/>
          </w:tcPr>
          <w:p>
            <w:r>
              <w:t>safety_chunks.jsonl</w:t>
            </w:r>
          </w:p>
        </w:tc>
        <w:tc>
          <w:tcPr>
            <w:tcW w:type="dxa" w:w="2880"/>
            <w:tcMar>
              <w:top w:w="80" w:type="dxa"/>
              <w:start w:w="120" w:type="dxa"/>
              <w:bottom w:w="80" w:type="dxa"/>
              <w:end w:w="120" w:type="dxa"/>
            </w:tcMar>
            <w:vAlign w:val="center"/>
          </w:tcPr>
          <w:p>
            <w:r>
              <w:t>policy_privacy_001</w:t>
            </w:r>
          </w:p>
        </w:tc>
        <w:tc>
          <w:tcPr>
            <w:tcW w:type="dxa" w:w="1440"/>
            <w:tcMar>
              <w:top w:w="80" w:type="dxa"/>
              <w:start w:w="120" w:type="dxa"/>
              <w:bottom w:w="80" w:type="dxa"/>
              <w:end w:w="120" w:type="dxa"/>
            </w:tcMar>
            <w:vAlign w:val="center"/>
          </w:tcPr>
          <w:p>
            <w:r>
              <w:t>政策纲要</w:t>
            </w:r>
          </w:p>
        </w:tc>
        <w:tc>
          <w:tcPr>
            <w:tcW w:type="dxa" w:w="3456"/>
            <w:tcMar>
              <w:top w:w="80" w:type="dxa"/>
              <w:start w:w="120" w:type="dxa"/>
              <w:bottom w:w="80" w:type="dxa"/>
              <w:end w:w="120" w:type="dxa"/>
            </w:tcMar>
            <w:vAlign w:val="center"/>
          </w:tcPr>
          <w:p>
            <w:r>
              <w:t>青少年心理健康教育中的隐私与安全原则。</w:t>
            </w:r>
          </w:p>
        </w:tc>
      </w:tr>
    </w:tbl>
    <w:p/>
    <w:p>
      <w:pPr>
        <w:pStyle w:val="Heading2"/>
      </w:pPr>
      <w:r>
        <w:t>附录 D：项目研究与提交材料链接</w:t>
      </w:r>
    </w:p>
    <w:p>
      <w:pPr>
        <w:pStyle w:val="ListBullet"/>
      </w:pPr>
      <w:r>
        <w:t>问卷页面：https://survey.rethink.buleegasy.space</w:t>
      </w:r>
    </w:p>
    <w:p>
      <w:pPr>
        <w:pStyle w:val="ListBullet"/>
      </w:pPr>
      <w:r>
        <w:t>数据大屏：https://re-think-dashboard.pages.dev</w:t>
      </w:r>
    </w:p>
    <w:p>
      <w:pPr>
        <w:pStyle w:val="ListBullet"/>
      </w:pPr>
      <w:r>
        <w:t>项目文件：README.md、ORIGINAL_REQUEST.md、plan.md、tasks.md、docs/survey_questionnaire.md、docs/development_record.md。</w:t>
      </w:r>
    </w:p>
    <w:p>
      <w:pPr>
        <w:pStyle w:val="ListBullet"/>
      </w:pPr>
      <w:r>
        <w:t>核心实现文件：worker/src/lib/llm.ts、worker/src/lib/fsm.ts、worker/src/lib/intent-router.ts、worker/src/routes/chat.ts、worker/src/routes/onboarding.ts、worker/src/lib/rag.ts。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