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pPr>
      <w:r>
        <w:rPr>
          <w:b/>
          <w:bCs/>
          <w:color w:val="B8935A"/>
          <w:spacing w:val="120"/>
          <w:sz w:val="20"/>
          <w:szCs w:val="20"/>
        </w:rPr>
        <w:t xml:space="preserve">TECHNICAL WHITEPAPER</w:t>
      </w:r>
    </w:p>
    <w:p>
      <w:pPr>
        <w:spacing w:after="0"/>
      </w:pPr>
      <w:r>
        <w:rPr>
          <w:rFonts w:ascii="Calibri" w:cs="Calibri" w:eastAsia="Calibri" w:hAnsi="Calibri"/>
          <w:b/>
          <w:bCs/>
          <w:color w:val="0B2942"/>
          <w:sz w:val="52"/>
          <w:szCs w:val="52"/>
        </w:rPr>
        <w:t xml:space="preserve">Modern Backend Engineering:</w:t>
      </w:r>
    </w:p>
    <w:p>
      <w:pPr>
        <w:spacing w:after="480"/>
      </w:pPr>
      <w:r>
        <w:rPr>
          <w:rFonts w:ascii="Calibri" w:cs="Calibri" w:eastAsia="Calibri" w:hAnsi="Calibri"/>
          <w:b w:val="false"/>
          <w:bCs w:val="false"/>
          <w:color w:val="15405A"/>
          <w:sz w:val="44"/>
          <w:szCs w:val="44"/>
        </w:rPr>
        <w:t xml:space="preserve">CI/CD, Containerization &amp; Cloud Deployment</w:t>
      </w:r>
    </w:p>
    <w:p>
      <w:pPr>
        <w:pBdr>
          <w:bottom w:val="single" w:color="B8935A" w:sz="12"/>
        </w:pBdr>
        <w:spacing w:after="480"/>
      </w:pPr>
      <w:r>
        <w:rPr>
          <w:sz w:val="22"/>
          <w:szCs w:val="22"/>
        </w:rPr>
        <w:t xml:space="preserve"/>
      </w:r>
    </w:p>
    <w:p>
      <w:pPr>
        <w:spacing w:after="720"/>
        <w:jc w:val="both"/>
      </w:pPr>
      <w:r>
        <w:rPr>
          <w:i/>
          <w:iCs/>
          <w:color w:val="5B6B78"/>
          <w:sz w:val="24"/>
          <w:szCs w:val="24"/>
        </w:rPr>
        <w:t xml:space="preserve">How modern engineering teams automate testing, containerize applications, and deploy reliably to the cloud — eliminating manual risk at every stage of the software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b/>
                <w:bCs/>
                <w:color w:val="0B2942"/>
                <w:sz w:val="20"/>
                <w:szCs w:val="20"/>
              </w:rPr>
              <w:t xml:space="preserve">Topic</w:t>
            </w:r>
          </w:p>
        </w:tc>
        <w:tc>
          <w:tcPr>
            <w:tcW w:type="dxa" w:w="64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color w:val="1A1A1A"/>
                <w:sz w:val="20"/>
                <w:szCs w:val="20"/>
              </w:rPr>
              <w:t xml:space="preserve">CI/CD Pipelines, Docker, Cloud Run, MongoDB Atlas, Security</w:t>
            </w:r>
          </w:p>
        </w:tc>
      </w:tr>
      <w:tr>
        <w:tc>
          <w:tcPr>
            <w:tcW w:type="dxa" w:w="28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b/>
                <w:bCs/>
                <w:color w:val="0B2942"/>
                <w:sz w:val="20"/>
                <w:szCs w:val="20"/>
              </w:rPr>
              <w:t xml:space="preserve">Audience</w:t>
            </w:r>
          </w:p>
        </w:tc>
        <w:tc>
          <w:tcPr>
            <w:tcW w:type="dxa" w:w="64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color w:val="1A1A1A"/>
                <w:sz w:val="20"/>
                <w:szCs w:val="20"/>
              </w:rPr>
              <w:t xml:space="preserve">Software engineers, engineering managers, technical leads</w:t>
            </w:r>
          </w:p>
        </w:tc>
      </w:tr>
      <w:tr>
        <w:tc>
          <w:tcPr>
            <w:tcW w:type="dxa" w:w="28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b/>
                <w:bCs/>
                <w:color w:val="0B2942"/>
                <w:sz w:val="20"/>
                <w:szCs w:val="20"/>
              </w:rPr>
              <w:t xml:space="preserve">Level</w:t>
            </w:r>
          </w:p>
        </w:tc>
        <w:tc>
          <w:tcPr>
            <w:tcW w:type="dxa" w:w="64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color w:val="1A1A1A"/>
                <w:sz w:val="20"/>
                <w:szCs w:val="20"/>
              </w:rPr>
              <w:t xml:space="preserve">Intermediate — assumes basic familiarity with software development</w:t>
            </w:r>
          </w:p>
        </w:tc>
      </w:tr>
      <w:tr>
        <w:tc>
          <w:tcPr>
            <w:tcW w:type="dxa" w:w="28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b/>
                <w:bCs/>
                <w:color w:val="0B2942"/>
                <w:sz w:val="20"/>
                <w:szCs w:val="20"/>
              </w:rPr>
              <w:t xml:space="preserve">Purpose</w:t>
            </w:r>
          </w:p>
        </w:tc>
        <w:tc>
          <w:tcPr>
            <w:tcW w:type="dxa" w:w="64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color w:val="1A1A1A"/>
                <w:sz w:val="20"/>
                <w:szCs w:val="20"/>
              </w:rPr>
              <w:t xml:space="preserve">Educational — generic best practices, no proprietary details</w:t>
            </w:r>
          </w:p>
        </w:tc>
      </w:tr>
    </w:tbl>
    <w:p>
      <w:pPr>
        <w:spacing w:after="400"/>
      </w:pPr>
      <w:r>
        <w:t xml:space="preserve"/>
      </w:r>
    </w:p>
    <w:p>
      <w:r>
        <w:br w:type="page"/>
      </w:r>
    </w:p>
    <w:p>
      <w:pPr>
        <w:pStyle w:val="Heading1"/>
        <w:spacing w:after="160" w:before="0"/>
      </w:pPr>
      <w:r>
        <w:t xml:space="preserve">Executive Summary</w:t>
      </w:r>
    </w:p>
    <w:p>
      <w:pPr>
        <w:spacing w:after="160"/>
        <w:jc w:val="both"/>
      </w:pPr>
      <w:r>
        <w:rPr>
          <w:color w:val="1A1A1A"/>
          <w:sz w:val="22"/>
          <w:szCs w:val="22"/>
        </w:rPr>
        <w:t xml:space="preserve">Manual software deployments are among the most avoidable sources of production incidents in modern software engineering. This whitepaper documents the architectural decisions, tools, and engineering practices behind building a production-grade backend system with fully automated testing, containerized deployment, and cloud-native infrastructure.</w:t>
      </w:r>
    </w:p>
    <w:p>
      <w:pPr>
        <w:spacing w:after="160"/>
        <w:jc w:val="both"/>
      </w:pPr>
      <w:r>
        <w:rPr>
          <w:color w:val="1A1A1A"/>
          <w:sz w:val="22"/>
          <w:szCs w:val="22"/>
        </w:rPr>
        <w:t xml:space="preserve">The system described here uses Java 21, Spring Boot, MongoDB, Docker, GitHub Actions, and Google Cloud Run — a stack representative of contemporary enterprise backend development. The patterns documented apply equally to any language or framework combination.</w:t>
      </w:r>
    </w:p>
    <w:p>
      <w:pPr>
        <w:spacing w:after="160"/>
        <w:jc w:val="both"/>
      </w:pPr>
      <w:r>
        <w:rPr>
          <w:color w:val="1A1A1A"/>
          <w:sz w:val="22"/>
          <w:szCs w:val="22"/>
        </w:rPr>
        <w:t xml:space="preserve">The core thesis is straightforward: every step between a developer committing code and that code running in production is an opportunity for human error. The goal of modern DevOps engineering is to eliminate those opportunities through automation, while maintaining full auditability and the ability to roll back any change.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20"/>
        <w:gridCol w:w="8640"/>
      </w:tblGrid>
      <w:tr>
        <w:tc>
          <w:tcPr>
            <w:tcW w:type="dxa" w:w="720"/>
            <w:tcBorders>
              <w:top w:val="none"/>
              <w:left w:val="none"/>
              <w:bottom w:val="none"/>
              <w:right w:val="none"/>
            </w:tcBorders>
            <w:shd w:fill="B8935A" w:color="B8935A" w:val="clear"/>
          </w:tcPr>
          <w:p>
            <w:r>
              <w:rPr>
                <w:sz w:val="22"/>
                <w:szCs w:val="22"/>
              </w:rPr>
              <w:t xml:space="preserve"/>
            </w:r>
          </w:p>
        </w:tc>
        <w:tc>
          <w:tcPr>
            <w:tcW w:type="dxa" w:w="8640"/>
            <w:tcBorders>
              <w:top w:val="none"/>
              <w:left w:val="none"/>
              <w:bottom w:val="none"/>
              <w:right w:val="none"/>
            </w:tcBorders>
            <w:shd w:fill="F4F6F8" w:color="F4F6F8" w:val="clear"/>
            <w:tcMar>
              <w:top w:type="dxa" w:w="120"/>
              <w:left w:type="dxa" w:w="200"/>
              <w:bottom w:type="dxa" w:w="120"/>
              <w:right w:type="dxa" w:w="120"/>
            </w:tcMar>
          </w:tcPr>
          <w:p>
            <w:pPr>
              <w:spacing w:after="60"/>
            </w:pPr>
            <w:r>
              <w:rPr>
                <w:b/>
                <w:bCs/>
                <w:color w:val="0B2942"/>
                <w:sz w:val="20"/>
                <w:szCs w:val="20"/>
              </w:rPr>
              <w:t xml:space="preserve">Key Outcome</w:t>
            </w:r>
          </w:p>
          <w:p>
            <w:pPr>
              <w:spacing w:after="0"/>
            </w:pPr>
            <w:r>
              <w:rPr>
                <w:i/>
                <w:iCs/>
                <w:color w:val="5B6B78"/>
                <w:sz w:val="20"/>
                <w:szCs w:val="20"/>
              </w:rPr>
              <w:t xml:space="preserve">38 automated tests run on every code push. From git push to live deployment takes approximately 2 minutes, with zero manual steps and a full audit trail.</w:t>
            </w:r>
          </w:p>
        </w:tc>
      </w:tr>
    </w:tbl>
    <w:p>
      <w:pPr>
        <w:spacing w:after="300"/>
      </w:pPr>
      <w:r>
        <w:t xml:space="preserve"/>
      </w:r>
    </w:p>
    <w:p>
      <w:r>
        <w:br w:type="page"/>
      </w:r>
    </w:p>
    <w:p>
      <w:pPr>
        <w:pStyle w:val="Heading1"/>
        <w:spacing w:after="160" w:before="0"/>
      </w:pPr>
      <w:r>
        <w:t xml:space="preserve">1. The Problem With Manual Deployments</w:t>
      </w:r>
    </w:p>
    <w:p>
      <w:pPr>
        <w:spacing w:after="160"/>
        <w:jc w:val="both"/>
      </w:pPr>
      <w:r>
        <w:rPr>
          <w:color w:val="1A1A1A"/>
          <w:sz w:val="22"/>
          <w:szCs w:val="22"/>
        </w:rPr>
        <w:t xml:space="preserve">Before examining the solution, it is worth understanding precisely what problem automated pipelines solve. Manual deployment processes share a common set of failure modes regardless of the technology involved:</w:t>
      </w:r>
    </w:p>
    <w:p>
      <w:pPr>
        <w:pStyle w:val="ListParagraph"/>
        <w:numPr>
          <w:ilvl w:val="0"/>
          <w:numId w:val="2"/>
        </w:numPr>
        <w:spacing w:after="80"/>
      </w:pPr>
      <w:r>
        <w:rPr>
          <w:color w:val="1A1A1A"/>
          <w:sz w:val="22"/>
          <w:szCs w:val="22"/>
        </w:rPr>
        <w:t xml:space="preserve">Environment drift: code that works on a developer's laptop fails in production because the two environments have diverged — different library versions, different OS settings, different file paths.</w:t>
      </w:r>
    </w:p>
    <w:p>
      <w:pPr>
        <w:pStyle w:val="ListParagraph"/>
        <w:numPr>
          <w:ilvl w:val="0"/>
          <w:numId w:val="2"/>
        </w:numPr>
        <w:spacing w:after="80"/>
      </w:pPr>
      <w:r>
        <w:rPr>
          <w:color w:val="1A1A1A"/>
          <w:sz w:val="22"/>
          <w:szCs w:val="22"/>
        </w:rPr>
        <w:t xml:space="preserve">Human error under pressure: release events are often stressful, time-pressured, and involve multi-step checklists that are easy to skip or execute in the wrong order.</w:t>
      </w:r>
    </w:p>
    <w:p>
      <w:pPr>
        <w:pStyle w:val="ListParagraph"/>
        <w:numPr>
          <w:ilvl w:val="0"/>
          <w:numId w:val="2"/>
        </w:numPr>
        <w:spacing w:after="80"/>
      </w:pPr>
      <w:r>
        <w:rPr>
          <w:color w:val="1A1A1A"/>
          <w:sz w:val="22"/>
          <w:szCs w:val="22"/>
        </w:rPr>
        <w:t xml:space="preserve">No automated quality gate: without a mandatory test run before deployment, bugs that automated tests would have caught reach production and affect real users.</w:t>
      </w:r>
    </w:p>
    <w:p>
      <w:pPr>
        <w:pStyle w:val="ListParagraph"/>
        <w:numPr>
          <w:ilvl w:val="0"/>
          <w:numId w:val="2"/>
        </w:numPr>
        <w:spacing w:after="80"/>
      </w:pPr>
      <w:r>
        <w:rPr>
          <w:color w:val="1A1A1A"/>
          <w:sz w:val="22"/>
          <w:szCs w:val="22"/>
        </w:rPr>
        <w:t xml:space="preserve">Slow feedback cycles: if a deployment requires manual steps, developers hesitate to deploy small, incremental changes — leading to large, risky releases rather than small, safe ones.</w:t>
      </w:r>
    </w:p>
    <w:p>
      <w:pPr>
        <w:pStyle w:val="ListParagraph"/>
        <w:numPr>
          <w:ilvl w:val="0"/>
          <w:numId w:val="2"/>
        </w:numPr>
        <w:spacing w:after="80"/>
      </w:pPr>
      <w:r>
        <w:rPr>
          <w:color w:val="1A1A1A"/>
          <w:sz w:val="22"/>
          <w:szCs w:val="22"/>
        </w:rPr>
        <w:t xml:space="preserve">Poor auditability: manual deployments are hard to trace. Which version is running? Who deployed it? What changed?</w:t>
      </w:r>
    </w:p>
    <w:p>
      <w:pPr>
        <w:spacing w:after="200"/>
      </w:pPr>
      <w:r>
        <w:t xml:space="preserve"/>
      </w:r>
    </w:p>
    <w:p>
      <w:pPr>
        <w:spacing w:after="160"/>
        <w:jc w:val="both"/>
      </w:pPr>
      <w:r>
        <w:rPr>
          <w:color w:val="1A1A1A"/>
          <w:sz w:val="22"/>
          <w:szCs w:val="22"/>
        </w:rPr>
        <w:t xml:space="preserve">Research from the DORA (DevOps Research and Assessment) program consistently shows that high-performing engineering teams deploy more frequently, recover from incidents faster, and have lower change failure rates than low-performing teams. The common factor is automation — not talent.</w:t>
      </w:r>
    </w:p>
    <w:p>
      <w:pPr>
        <w:spacing w:after="300"/>
      </w:pPr>
      <w:r>
        <w:t xml:space="preserve"/>
      </w:r>
    </w:p>
    <w:p>
      <w:pPr>
        <w:pStyle w:val="Heading1"/>
        <w:spacing w:after="160" w:before="0"/>
      </w:pPr>
      <w:r>
        <w:t xml:space="preserve">2. Architecture Overview</w:t>
      </w:r>
    </w:p>
    <w:p>
      <w:pPr>
        <w:spacing w:after="160"/>
        <w:jc w:val="both"/>
      </w:pPr>
      <w:r>
        <w:rPr>
          <w:color w:val="1A1A1A"/>
          <w:sz w:val="22"/>
          <w:szCs w:val="22"/>
        </w:rPr>
        <w:t xml:space="preserve">The system described in this whitepaper consists of four interdependent components that work together to eliminate manual risk:</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b/>
                <w:bCs/>
                <w:color w:val="0B2942"/>
                <w:sz w:val="20"/>
                <w:szCs w:val="20"/>
              </w:rPr>
              <w:t xml:space="preserve">Automated Testing</w:t>
            </w:r>
          </w:p>
        </w:tc>
        <w:tc>
          <w:tcPr>
            <w:tcW w:type="dxa" w:w="64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color w:val="1A1A1A"/>
                <w:sz w:val="20"/>
                <w:szCs w:val="20"/>
              </w:rPr>
              <w:t xml:space="preserve">JUnit 5 + Mockito + AssertJ + Testcontainers. 38 tests across 5 business domains. Tests run against a real MongoDB instance, not a mock.</w:t>
            </w:r>
          </w:p>
        </w:tc>
      </w:tr>
      <w:tr>
        <w:tc>
          <w:tcPr>
            <w:tcW w:type="dxa" w:w="28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b/>
                <w:bCs/>
                <w:color w:val="0B2942"/>
                <w:sz w:val="20"/>
                <w:szCs w:val="20"/>
              </w:rPr>
              <w:t xml:space="preserve">Containerization</w:t>
            </w:r>
          </w:p>
        </w:tc>
        <w:tc>
          <w:tcPr>
            <w:tcW w:type="dxa" w:w="64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color w:val="1A1A1A"/>
                <w:sz w:val="20"/>
                <w:szCs w:val="20"/>
              </w:rPr>
              <w:t xml:space="preserve">Docker multi-stage build. JDK build stage produces the fat JAR; JRE runtime stage produces the production image. Non-root user, minimal attack surface.</w:t>
            </w:r>
          </w:p>
        </w:tc>
      </w:tr>
      <w:tr>
        <w:tc>
          <w:tcPr>
            <w:tcW w:type="dxa" w:w="28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b/>
                <w:bCs/>
                <w:color w:val="0B2942"/>
                <w:sz w:val="20"/>
                <w:szCs w:val="20"/>
              </w:rPr>
              <w:t xml:space="preserve">CI Pipeline</w:t>
            </w:r>
          </w:p>
        </w:tc>
        <w:tc>
          <w:tcPr>
            <w:tcW w:type="dxa" w:w="64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color w:val="1A1A1A"/>
                <w:sz w:val="20"/>
                <w:szCs w:val="20"/>
              </w:rPr>
              <w:t xml:space="preserve">GitHub Actions. Runs on every push and pull request. Test → JAR build → Docker build → push to registry → deploy. No manual steps.</w:t>
            </w:r>
          </w:p>
        </w:tc>
      </w:tr>
      <w:tr>
        <w:tc>
          <w:tcPr>
            <w:tcW w:type="dxa" w:w="28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b/>
                <w:bCs/>
                <w:color w:val="0B2942"/>
                <w:sz w:val="20"/>
                <w:szCs w:val="20"/>
              </w:rPr>
              <w:t xml:space="preserve">Cloud Deployment</w:t>
            </w:r>
          </w:p>
        </w:tc>
        <w:tc>
          <w:tcPr>
            <w:tcW w:type="dxa" w:w="64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color w:val="1A1A1A"/>
                <w:sz w:val="20"/>
                <w:szCs w:val="20"/>
              </w:rPr>
              <w:t xml:space="preserve">Google Cloud Run. Serverless, auto-scaling, scale-to-zero. IAM-only access for non-production environments. SHA-tagged images for rollback.</w:t>
            </w:r>
          </w:p>
        </w:tc>
      </w:tr>
    </w:tbl>
    <w:p>
      <w:pPr>
        <w:spacing w:after="200"/>
      </w:pPr>
      <w:r>
        <w:t xml:space="preserve"/>
      </w:r>
    </w:p>
    <w:p>
      <w:pPr>
        <w:spacing w:after="160"/>
        <w:jc w:val="both"/>
      </w:pPr>
      <w:r>
        <w:rPr>
          <w:color w:val="1A1A1A"/>
          <w:sz w:val="22"/>
          <w:szCs w:val="22"/>
        </w:rPr>
        <w:t xml:space="preserve">These four components are not independent choices — they compose. Testcontainers requires Docker, which is the same technology used to build the production image. The CI pipeline orchestrates all four. Cloud Run runs the image that CI built. Understanding each in isolation is less useful than understanding how they connect.</w:t>
      </w:r>
    </w:p>
    <w:p>
      <w:pPr>
        <w:spacing w:after="300"/>
      </w:pPr>
      <w:r>
        <w:t xml:space="preserve"/>
      </w:r>
    </w:p>
    <w:p>
      <w:pPr>
        <w:pStyle w:val="Heading1"/>
        <w:spacing w:after="160" w:before="0"/>
      </w:pPr>
      <w:r>
        <w:t xml:space="preserve">3. Automated Testing Strategy</w:t>
      </w:r>
    </w:p>
    <w:p>
      <w:pPr>
        <w:pStyle w:val="Heading2"/>
        <w:spacing w:after="120" w:before="0"/>
      </w:pPr>
      <w:r>
        <w:t xml:space="preserve">3.1 The Test Pyramid</w:t>
      </w:r>
    </w:p>
    <w:p>
      <w:pPr>
        <w:spacing w:after="160"/>
        <w:jc w:val="both"/>
      </w:pPr>
      <w:r>
        <w:rPr>
          <w:color w:val="1A1A1A"/>
          <w:sz w:val="22"/>
          <w:szCs w:val="22"/>
        </w:rPr>
        <w:t xml:space="preserve">The system follows the standard test pyramid: a large base of fast unit tests, a mid-layer of integration tests, and a small tip of end-to-end tests. This distribution reflects the tradeoffs between speed, coverage, and maintenance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b/>
                <w:bCs/>
                <w:color w:val="0B2942"/>
                <w:sz w:val="20"/>
                <w:szCs w:val="20"/>
              </w:rPr>
              <w:t xml:space="preserve">Unit Tests (~75%)</w:t>
            </w:r>
          </w:p>
        </w:tc>
        <w:tc>
          <w:tcPr>
            <w:tcW w:type="dxa" w:w="64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color w:val="1A1A1A"/>
                <w:sz w:val="20"/>
                <w:szCs w:val="20"/>
              </w:rPr>
              <w:t xml:space="preserve">Test individual classes in isolation. Dependencies mocked via Mockito. Run in milliseconds. Cover business logic, validation, edge cases.</w:t>
            </w:r>
          </w:p>
        </w:tc>
      </w:tr>
      <w:tr>
        <w:tc>
          <w:tcPr>
            <w:tcW w:type="dxa" w:w="28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b/>
                <w:bCs/>
                <w:color w:val="0B2942"/>
                <w:sz w:val="20"/>
                <w:szCs w:val="20"/>
              </w:rPr>
              <w:t xml:space="preserve">Integration Tests (~20%)</w:t>
            </w:r>
          </w:p>
        </w:tc>
        <w:tc>
          <w:tcPr>
            <w:tcW w:type="dxa" w:w="64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color w:val="1A1A1A"/>
                <w:sz w:val="20"/>
                <w:szCs w:val="20"/>
              </w:rPr>
              <w:t xml:space="preserve">Test the full domain stack against a real MongoDB instance via Testcontainers. Catch real-world behaviors that mocks hide.</w:t>
            </w:r>
          </w:p>
        </w:tc>
      </w:tr>
      <w:tr>
        <w:tc>
          <w:tcPr>
            <w:tcW w:type="dxa" w:w="28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b/>
                <w:bCs/>
                <w:color w:val="0B2942"/>
                <w:sz w:val="20"/>
                <w:szCs w:val="20"/>
              </w:rPr>
              <w:t xml:space="preserve">E2E Tests (~5%)</w:t>
            </w:r>
          </w:p>
        </w:tc>
        <w:tc>
          <w:tcPr>
            <w:tcW w:type="dxa" w:w="64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color w:val="1A1A1A"/>
                <w:sz w:val="20"/>
                <w:szCs w:val="20"/>
              </w:rPr>
              <w:t xml:space="preserve">Test the full system via HTTP. Verify the API contract. Fewer, slower, but high-value for critical paths.</w:t>
            </w:r>
          </w:p>
        </w:tc>
      </w:tr>
    </w:tbl>
    <w:p>
      <w:pPr>
        <w:spacing w:after="200"/>
      </w:pPr>
      <w:r>
        <w:t xml:space="preserve"/>
      </w:r>
    </w:p>
    <w:p>
      <w:pPr>
        <w:pStyle w:val="Heading2"/>
        <w:spacing w:after="120" w:before="0"/>
      </w:pPr>
      <w:r>
        <w:t xml:space="preserve">3.2 Testcontainers: Real Databases in Tests</w:t>
      </w:r>
    </w:p>
    <w:p>
      <w:pPr>
        <w:spacing w:after="160"/>
        <w:jc w:val="both"/>
      </w:pPr>
      <w:r>
        <w:rPr>
          <w:color w:val="1A1A1A"/>
          <w:sz w:val="22"/>
          <w:szCs w:val="22"/>
        </w:rPr>
        <w:t xml:space="preserve">Testcontainers is a Java library that spins up real Docker containers during test execution. For MongoDB integration tests, this means each test run connects to a real, fresh MongoDB instance rather than an in-memory mock or a shared test database.</w:t>
      </w:r>
    </w:p>
    <w:p>
      <w:pPr>
        <w:spacing w:after="160"/>
        <w:jc w:val="both"/>
      </w:pPr>
      <w:r>
        <w:rPr>
          <w:color w:val="1A1A1A"/>
          <w:sz w:val="22"/>
          <w:szCs w:val="22"/>
        </w:rPr>
        <w:t xml:space="preserve">The advantages are significant:</w:t>
      </w:r>
    </w:p>
    <w:p>
      <w:pPr>
        <w:pStyle w:val="ListParagraph"/>
        <w:numPr>
          <w:ilvl w:val="0"/>
          <w:numId w:val="2"/>
        </w:numPr>
        <w:spacing w:after="80"/>
      </w:pPr>
      <w:r>
        <w:rPr>
          <w:color w:val="1A1A1A"/>
          <w:sz w:val="22"/>
          <w:szCs w:val="22"/>
        </w:rPr>
        <w:t xml:space="preserve">Tests catch real MongoDB behaviors that a mock would silently allow — such as millisecond-precision truncation of Java Instant values (MongoDB BSON datetime stores to millisecond precision, not nanosecond, causing equality assertions to flake if written naively).</w:t>
      </w:r>
    </w:p>
    <w:p>
      <w:pPr>
        <w:pStyle w:val="ListParagraph"/>
        <w:numPr>
          <w:ilvl w:val="0"/>
          <w:numId w:val="2"/>
        </w:numPr>
        <w:spacing w:after="80"/>
      </w:pPr>
      <w:r>
        <w:rPr>
          <w:color w:val="1A1A1A"/>
          <w:sz w:val="22"/>
          <w:szCs w:val="22"/>
        </w:rPr>
        <w:t xml:space="preserve">Liquibase changesets (schema migrations) are applied automatically before tests run, ensuring tests validate against the exact same schema as production.</w:t>
      </w:r>
    </w:p>
    <w:p>
      <w:pPr>
        <w:pStyle w:val="ListParagraph"/>
        <w:numPr>
          <w:ilvl w:val="0"/>
          <w:numId w:val="2"/>
        </w:numPr>
        <w:spacing w:after="80"/>
      </w:pPr>
      <w:r>
        <w:rPr>
          <w:color w:val="1A1A1A"/>
          <w:sz w:val="22"/>
          <w:szCs w:val="22"/>
        </w:rPr>
        <w:t xml:space="preserve">No shared test database state — each test run starts clean.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20"/>
        <w:gridCol w:w="8640"/>
      </w:tblGrid>
      <w:tr>
        <w:tc>
          <w:tcPr>
            <w:tcW w:type="dxa" w:w="720"/>
            <w:tcBorders>
              <w:top w:val="none"/>
              <w:left w:val="none"/>
              <w:bottom w:val="none"/>
              <w:right w:val="none"/>
            </w:tcBorders>
            <w:shd w:fill="B8935A" w:color="B8935A" w:val="clear"/>
          </w:tcPr>
          <w:p>
            <w:r>
              <w:rPr>
                <w:sz w:val="22"/>
                <w:szCs w:val="22"/>
              </w:rPr>
              <w:t xml:space="preserve"/>
            </w:r>
          </w:p>
        </w:tc>
        <w:tc>
          <w:tcPr>
            <w:tcW w:type="dxa" w:w="8640"/>
            <w:tcBorders>
              <w:top w:val="none"/>
              <w:left w:val="none"/>
              <w:bottom w:val="none"/>
              <w:right w:val="none"/>
            </w:tcBorders>
            <w:shd w:fill="F4F6F8" w:color="F4F6F8" w:val="clear"/>
            <w:tcMar>
              <w:top w:type="dxa" w:w="120"/>
              <w:left w:type="dxa" w:w="200"/>
              <w:bottom w:type="dxa" w:w="120"/>
              <w:right w:type="dxa" w:w="120"/>
            </w:tcMar>
          </w:tcPr>
          <w:p>
            <w:pPr>
              <w:spacing w:after="60"/>
            </w:pPr>
            <w:r>
              <w:rPr>
                <w:b/>
                <w:bCs/>
                <w:color w:val="0B2942"/>
                <w:sz w:val="20"/>
                <w:szCs w:val="20"/>
              </w:rPr>
              <w:t xml:space="preserve">Critical Implementation Note</w:t>
            </w:r>
          </w:p>
          <w:p>
            <w:pPr>
              <w:spacing w:after="0"/>
            </w:pPr>
            <w:r>
              <w:rPr>
                <w:i/>
                <w:iCs/>
                <w:color w:val="5B6B78"/>
                <w:sz w:val="20"/>
                <w:szCs w:val="20"/>
              </w:rPr>
              <w:t xml:space="preserve">The singleton container pattern is essential. Testcontainers containers must be started in a static initializer block shared across all test classes, not with @Testcontainers/@Container annotations. The annotation-based pattern causes Spring's ApplicationContext caching to reuse stale MongoClient instances pointing at destroyed containers, producing connection errors on the second test class.</w:t>
            </w:r>
          </w:p>
        </w:tc>
      </w:tr>
    </w:tbl>
    <w:p>
      <w:pPr>
        <w:spacing w:after="200"/>
      </w:pPr>
      <w:r>
        <w:t xml:space="preserve"/>
      </w:r>
    </w:p>
    <w:p>
      <w:pPr>
        <w:pStyle w:val="Heading2"/>
        <w:spacing w:after="120" w:before="0"/>
      </w:pPr>
      <w:r>
        <w:t xml:space="preserve">3.3 Domain-Based Test Organization</w:t>
      </w:r>
    </w:p>
    <w:p>
      <w:pPr>
        <w:spacing w:after="160"/>
        <w:jc w:val="both"/>
      </w:pPr>
      <w:r>
        <w:rPr>
          <w:color w:val="1A1A1A"/>
          <w:sz w:val="22"/>
          <w:szCs w:val="22"/>
        </w:rPr>
        <w:t xml:space="preserve">Tests are organized by business domain, mirroring the production code structure. Each domain has its own integration test class, test data builder, and unit test class. This mirrors the domain-driven design approach used in the production code and ensures each domain can be tested and understood independently.</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117" w:color="0D1117" w:val="clear"/>
            <w:tcMar>
              <w:top w:type="dxa" w:w="160"/>
              <w:left w:type="dxa" w:w="240"/>
              <w:bottom w:type="dxa" w:w="160"/>
              <w:right w:type="dxa" w:w="240"/>
            </w:tcMar>
          </w:tcPr>
          <w:p>
            <w:pPr>
              <w:spacing w:after="20"/>
            </w:pPr>
            <w:r>
              <w:rPr>
                <w:rFonts w:ascii="Courier New" w:cs="Courier New" w:eastAsia="Courier New" w:hAnsi="Courier New"/>
                <w:color w:val="58D68D"/>
                <w:sz w:val="18"/>
                <w:szCs w:val="18"/>
              </w:rPr>
              <w:t xml:space="preserve">src/test/java/org/example/platform/</w:t>
            </w:r>
          </w:p>
          <w:p>
            <w:pPr>
              <w:spacing w:after="20"/>
            </w:pPr>
            <w:r>
              <w:rPr>
                <w:rFonts w:ascii="Courier New" w:cs="Courier New" w:eastAsia="Courier New" w:hAnsi="Courier New"/>
                <w:color w:val="58D68D"/>
                <w:sz w:val="18"/>
                <w:szCs w:val="18"/>
              </w:rPr>
              <w:t xml:space="preserve">├── shared/</w:t>
            </w:r>
          </w:p>
          <w:p>
            <w:pPr>
              <w:spacing w:after="20"/>
            </w:pPr>
            <w:r>
              <w:rPr>
                <w:rFonts w:ascii="Courier New" w:cs="Courier New" w:eastAsia="Courier New" w:hAnsi="Courier New"/>
                <w:color w:val="58D68D"/>
                <w:sz w:val="18"/>
                <w:szCs w:val="18"/>
              </w:rPr>
              <w:t xml:space="preserve">│   └── AbstractMongoIntegrationTest.java   # Testcontainers base class</w:t>
            </w:r>
          </w:p>
          <w:p>
            <w:pPr>
              <w:spacing w:after="20"/>
            </w:pPr>
            <w:r>
              <w:rPr>
                <w:rFonts w:ascii="Courier New" w:cs="Courier New" w:eastAsia="Courier New" w:hAnsi="Courier New"/>
                <w:color w:val="58D68D"/>
                <w:sz w:val="18"/>
                <w:szCs w:val="18"/>
              </w:rPr>
              <w:t xml:space="preserve">├── people/</w:t>
            </w:r>
          </w:p>
          <w:p>
            <w:pPr>
              <w:spacing w:after="20"/>
            </w:pPr>
            <w:r>
              <w:rPr>
                <w:rFonts w:ascii="Courier New" w:cs="Courier New" w:eastAsia="Courier New" w:hAnsi="Courier New"/>
                <w:color w:val="58D68D"/>
                <w:sz w:val="18"/>
                <w:szCs w:val="18"/>
              </w:rPr>
              <w:t xml:space="preserve">│   ├── PersonTestDataBuilder.java</w:t>
            </w:r>
          </w:p>
          <w:p>
            <w:pPr>
              <w:spacing w:after="20"/>
            </w:pPr>
            <w:r>
              <w:rPr>
                <w:rFonts w:ascii="Courier New" w:cs="Courier New" w:eastAsia="Courier New" w:hAnsi="Courier New"/>
                <w:color w:val="58D68D"/>
                <w:sz w:val="18"/>
                <w:szCs w:val="18"/>
              </w:rPr>
              <w:t xml:space="preserve">│   └── PersonServiceIntegrationTest.java    # 5 tests</w:t>
            </w:r>
          </w:p>
          <w:p>
            <w:pPr>
              <w:spacing w:after="20"/>
            </w:pPr>
            <w:r>
              <w:rPr>
                <w:rFonts w:ascii="Courier New" w:cs="Courier New" w:eastAsia="Courier New" w:hAnsi="Courier New"/>
                <w:color w:val="58D68D"/>
                <w:sz w:val="18"/>
                <w:szCs w:val="18"/>
              </w:rPr>
              <w:t xml:space="preserve">├── profile/</w:t>
            </w:r>
          </w:p>
          <w:p>
            <w:pPr>
              <w:spacing w:after="20"/>
            </w:pPr>
            <w:r>
              <w:rPr>
                <w:rFonts w:ascii="Courier New" w:cs="Courier New" w:eastAsia="Courier New" w:hAnsi="Courier New"/>
                <w:color w:val="58D68D"/>
                <w:sz w:val="18"/>
                <w:szCs w:val="18"/>
              </w:rPr>
              <w:t xml:space="preserve">│   ├── PersonProfileTestDataBuilder.java</w:t>
            </w:r>
          </w:p>
          <w:p>
            <w:pPr>
              <w:spacing w:after="20"/>
            </w:pPr>
            <w:r>
              <w:rPr>
                <w:rFonts w:ascii="Courier New" w:cs="Courier New" w:eastAsia="Courier New" w:hAnsi="Courier New"/>
                <w:color w:val="58D68D"/>
                <w:sz w:val="18"/>
                <w:szCs w:val="18"/>
              </w:rPr>
              <w:t xml:space="preserve">│   └── ProfileServiceIntegrationTest.java   # 4 tests</w:t>
            </w:r>
          </w:p>
          <w:p>
            <w:pPr>
              <w:spacing w:after="20"/>
            </w:pPr>
            <w:r>
              <w:rPr>
                <w:rFonts w:ascii="Courier New" w:cs="Courier New" w:eastAsia="Courier New" w:hAnsi="Courier New"/>
                <w:color w:val="58D68D"/>
                <w:sz w:val="18"/>
                <w:szCs w:val="18"/>
              </w:rPr>
              <w:t xml:space="preserve">├── consent/</w:t>
            </w:r>
          </w:p>
          <w:p>
            <w:pPr>
              <w:spacing w:after="20"/>
            </w:pPr>
            <w:r>
              <w:rPr>
                <w:rFonts w:ascii="Courier New" w:cs="Courier New" w:eastAsia="Courier New" w:hAnsi="Courier New"/>
                <w:color w:val="58D68D"/>
                <w:sz w:val="18"/>
                <w:szCs w:val="18"/>
              </w:rPr>
              <w:t xml:space="preserve">│   ├── ConsentRecordTestDataBuilder.java</w:t>
            </w:r>
          </w:p>
          <w:p>
            <w:pPr>
              <w:spacing w:after="20"/>
            </w:pPr>
            <w:r>
              <w:rPr>
                <w:rFonts w:ascii="Courier New" w:cs="Courier New" w:eastAsia="Courier New" w:hAnsi="Courier New"/>
                <w:color w:val="58D68D"/>
                <w:sz w:val="18"/>
                <w:szCs w:val="18"/>
              </w:rPr>
              <w:t xml:space="preserve">│   └── ConsentServiceIntegrationTest.java   # 6 tests</w:t>
            </w:r>
          </w:p>
          <w:p>
            <w:pPr>
              <w:spacing w:after="20"/>
            </w:pPr>
            <w:r>
              <w:rPr>
                <w:rFonts w:ascii="Courier New" w:cs="Courier New" w:eastAsia="Courier New" w:hAnsi="Courier New"/>
                <w:color w:val="58D68D"/>
                <w:sz w:val="18"/>
                <w:szCs w:val="18"/>
              </w:rPr>
              <w:t xml:space="preserve">├── traffic/</w:t>
            </w:r>
          </w:p>
          <w:p>
            <w:pPr>
              <w:spacing w:after="20"/>
            </w:pPr>
            <w:r>
              <w:rPr>
                <w:rFonts w:ascii="Courier New" w:cs="Courier New" w:eastAsia="Courier New" w:hAnsi="Courier New"/>
                <w:color w:val="58D68D"/>
                <w:sz w:val="18"/>
                <w:szCs w:val="18"/>
              </w:rPr>
              <w:t xml:space="preserve">│   ├── VisitTestDataBuilder.java</w:t>
            </w:r>
          </w:p>
          <w:p>
            <w:pPr>
              <w:spacing w:after="20"/>
            </w:pPr>
            <w:r>
              <w:rPr>
                <w:rFonts w:ascii="Courier New" w:cs="Courier New" w:eastAsia="Courier New" w:hAnsi="Courier New"/>
                <w:color w:val="58D68D"/>
                <w:sz w:val="18"/>
                <w:szCs w:val="18"/>
              </w:rPr>
              <w:t xml:space="preserve">│   └── TrafficServiceIntegrationTest.java   # 8 tests</w:t>
            </w:r>
          </w:p>
          <w:p>
            <w:pPr>
              <w:spacing w:after="20"/>
            </w:pPr>
            <w:r>
              <w:rPr>
                <w:rFonts w:ascii="Courier New" w:cs="Courier New" w:eastAsia="Courier New" w:hAnsi="Courier New"/>
                <w:color w:val="58D68D"/>
                <w:sz w:val="18"/>
                <w:szCs w:val="18"/>
              </w:rPr>
              <w:t xml:space="preserve">└── contact/</w:t>
            </w:r>
          </w:p>
          <w:p>
            <w:pPr>
              <w:spacing w:after="20"/>
            </w:pPr>
            <w:r>
              <w:rPr>
                <w:rFonts w:ascii="Courier New" w:cs="Courier New" w:eastAsia="Courier New" w:hAnsi="Courier New"/>
                <w:color w:val="58D68D"/>
                <w:sz w:val="18"/>
                <w:szCs w:val="18"/>
              </w:rPr>
              <w:t xml:space="preserve">    ├── ContactInquiryTestDataBuilder.java</w:t>
            </w:r>
          </w:p>
          <w:p>
            <w:pPr>
              <w:spacing w:after="20"/>
            </w:pPr>
            <w:r>
              <w:rPr>
                <w:rFonts w:ascii="Courier New" w:cs="Courier New" w:eastAsia="Courier New" w:hAnsi="Courier New"/>
                <w:color w:val="58D68D"/>
                <w:sz w:val="18"/>
                <w:szCs w:val="18"/>
              </w:rPr>
              <w:t xml:space="preserve">    ├── ContactServiceTest.java              # 7 unit tests (Mockito)</w:t>
            </w:r>
          </w:p>
          <w:p>
            <w:pPr>
              <w:spacing w:after="20"/>
            </w:pPr>
            <w:r>
              <w:rPr>
                <w:rFonts w:ascii="Courier New" w:cs="Courier New" w:eastAsia="Courier New" w:hAnsi="Courier New"/>
                <w:color w:val="58D68D"/>
                <w:sz w:val="18"/>
                <w:szCs w:val="18"/>
              </w:rPr>
              <w:t xml:space="preserve">    └── ContactServiceIntegrationTest.java   # 8 tests</w:t>
            </w:r>
          </w:p>
        </w:tc>
      </w:tr>
    </w:tbl>
    <w:p>
      <w:pPr>
        <w:spacing w:after="300"/>
      </w:pPr>
      <w:r>
        <w:t xml:space="preserve"/>
      </w:r>
    </w:p>
    <w:p>
      <w:pPr>
        <w:pStyle w:val="Heading1"/>
        <w:spacing w:after="160" w:before="0"/>
      </w:pPr>
      <w:r>
        <w:t xml:space="preserve">4. Containerization with Docker</w:t>
      </w:r>
    </w:p>
    <w:p>
      <w:pPr>
        <w:pStyle w:val="Heading2"/>
        <w:spacing w:after="120" w:before="0"/>
      </w:pPr>
      <w:r>
        <w:t xml:space="preserve">4.1 Why Containers?</w:t>
      </w:r>
    </w:p>
    <w:p>
      <w:pPr>
        <w:spacing w:after="160"/>
        <w:jc w:val="both"/>
      </w:pPr>
      <w:r>
        <w:rPr>
          <w:color w:val="1A1A1A"/>
          <w:sz w:val="22"/>
          <w:szCs w:val="22"/>
        </w:rPr>
        <w:t xml:space="preserve">A Docker container packages an application and all its dependencies into a single, portable artifact. The fundamental value proposition is reproducibility: the same container image runs identically on a developer's laptop, in the CI pipeline, and in production. The 'works on my machine' class of problems is eliminated by definition.</w:t>
      </w:r>
    </w:p>
    <w:p>
      <w:pPr>
        <w:pStyle w:val="Heading2"/>
        <w:spacing w:after="120" w:before="0"/>
      </w:pPr>
      <w:r>
        <w:t xml:space="preserve">4.2 Multi-Stage Builds</w:t>
      </w:r>
    </w:p>
    <w:p>
      <w:pPr>
        <w:spacing w:after="160"/>
        <w:jc w:val="both"/>
      </w:pPr>
      <w:r>
        <w:rPr>
          <w:color w:val="1A1A1A"/>
          <w:sz w:val="22"/>
          <w:szCs w:val="22"/>
        </w:rPr>
        <w:t xml:space="preserve">A naive Dockerfile installs everything needed to build and run the application in a single image. This produces large, insecure images containing build tools, source code, and test dependencies that have no place in production. Multi-stage builds solve this: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117" w:color="0D1117" w:val="clear"/>
            <w:tcMar>
              <w:top w:type="dxa" w:w="160"/>
              <w:left w:type="dxa" w:w="240"/>
              <w:bottom w:type="dxa" w:w="160"/>
              <w:right w:type="dxa" w:w="240"/>
            </w:tcMar>
          </w:tcPr>
          <w:p>
            <w:pPr>
              <w:spacing w:after="20"/>
            </w:pPr>
            <w:r>
              <w:rPr>
                <w:rFonts w:ascii="Courier New" w:cs="Courier New" w:eastAsia="Courier New" w:hAnsi="Courier New"/>
                <w:color w:val="58D68D"/>
                <w:sz w:val="18"/>
                <w:szCs w:val="18"/>
              </w:rPr>
              <w:t xml:space="preserve"># Stage 1: Builder — has JDK and Maven, used only to compile</w:t>
            </w:r>
          </w:p>
          <w:p>
            <w:pPr>
              <w:spacing w:after="20"/>
            </w:pPr>
            <w:r>
              <w:rPr>
                <w:rFonts w:ascii="Courier New" w:cs="Courier New" w:eastAsia="Courier New" w:hAnsi="Courier New"/>
                <w:color w:val="58D68D"/>
                <w:sz w:val="18"/>
                <w:szCs w:val="18"/>
              </w:rPr>
              <w:t xml:space="preserve">FROM eclipse-temurin:21-jdk-jammy AS builder</w:t>
            </w:r>
          </w:p>
          <w:p>
            <w:pPr>
              <w:spacing w:after="20"/>
            </w:pPr>
            <w:r>
              <w:rPr>
                <w:rFonts w:ascii="Courier New" w:cs="Courier New" w:eastAsia="Courier New" w:hAnsi="Courier New"/>
                <w:color w:val="58D68D"/>
                <w:sz w:val="18"/>
                <w:szCs w:val="18"/>
              </w:rPr>
              <w:t xml:space="preserve">WORKDIR /build</w:t>
            </w:r>
          </w:p>
          <w:p>
            <w:pPr>
              <w:spacing w:after="20"/>
            </w:pPr>
            <w:r>
              <w:rPr>
                <w:rFonts w:ascii="Courier New" w:cs="Courier New" w:eastAsia="Courier New" w:hAnsi="Courier New"/>
                <w:color w:val="58D68D"/>
                <w:sz w:val="18"/>
                <w:szCs w:val="18"/>
              </w:rPr>
              <w:t xml:space="preserve">COPY pom.xml .</w:t>
            </w:r>
          </w:p>
          <w:p>
            <w:pPr>
              <w:spacing w:after="20"/>
            </w:pPr>
            <w:r>
              <w:rPr>
                <w:rFonts w:ascii="Courier New" w:cs="Courier New" w:eastAsia="Courier New" w:hAnsi="Courier New"/>
                <w:color w:val="58D68D"/>
                <w:sz w:val="18"/>
                <w:szCs w:val="18"/>
              </w:rPr>
              <w:t xml:space="preserve">RUN apt-get install -y maven &amp;&amp; mvn dependency:go-offline</w:t>
            </w:r>
          </w:p>
          <w:p>
            <w:pPr>
              <w:spacing w:after="20"/>
            </w:pPr>
            <w:r>
              <w:rPr>
                <w:rFonts w:ascii="Courier New" w:cs="Courier New" w:eastAsia="Courier New" w:hAnsi="Courier New"/>
                <w:color w:val="58D68D"/>
                <w:sz w:val="18"/>
                <w:szCs w:val="18"/>
              </w:rPr>
              <w:t xml:space="preserve">COPY src ./src</w:t>
            </w:r>
          </w:p>
          <w:p>
            <w:pPr>
              <w:spacing w:after="20"/>
            </w:pPr>
            <w:r>
              <w:rPr>
                <w:rFonts w:ascii="Courier New" w:cs="Courier New" w:eastAsia="Courier New" w:hAnsi="Courier New"/>
                <w:color w:val="58D68D"/>
                <w:sz w:val="18"/>
                <w:szCs w:val="18"/>
              </w:rPr>
              <w:t xml:space="preserve">RUN mvn package -DskipTests</w:t>
            </w:r>
          </w:p>
          <w:p>
            <w:pPr>
              <w:spacing w:after="20"/>
            </w:pPr>
            <w:r>
              <w:rPr>
                <w:rFonts w:ascii="Courier New" w:cs="Courier New" w:eastAsia="Courier New" w:hAnsi="Courier New"/>
                <w:color w:val="58D68D"/>
                <w:sz w:val="18"/>
                <w:szCs w:val="18"/>
              </w:rPr>
              <w:t xml:space="preserve"/>
            </w:r>
          </w:p>
          <w:p>
            <w:pPr>
              <w:spacing w:after="20"/>
            </w:pPr>
            <w:r>
              <w:rPr>
                <w:rFonts w:ascii="Courier New" w:cs="Courier New" w:eastAsia="Courier New" w:hAnsi="Courier New"/>
                <w:color w:val="58D68D"/>
                <w:sz w:val="18"/>
                <w:szCs w:val="18"/>
              </w:rPr>
              <w:t xml:space="preserve"># Stage 2: Runtime — has only JRE and the compiled JAR</w:t>
            </w:r>
          </w:p>
          <w:p>
            <w:pPr>
              <w:spacing w:after="20"/>
            </w:pPr>
            <w:r>
              <w:rPr>
                <w:rFonts w:ascii="Courier New" w:cs="Courier New" w:eastAsia="Courier New" w:hAnsi="Courier New"/>
                <w:color w:val="58D68D"/>
                <w:sz w:val="18"/>
                <w:szCs w:val="18"/>
              </w:rPr>
              <w:t xml:space="preserve">FROM eclipse-temurin:21-jre-jammy</w:t>
            </w:r>
          </w:p>
          <w:p>
            <w:pPr>
              <w:spacing w:after="20"/>
            </w:pPr>
            <w:r>
              <w:rPr>
                <w:rFonts w:ascii="Courier New" w:cs="Courier New" w:eastAsia="Courier New" w:hAnsi="Courier New"/>
                <w:color w:val="58D68D"/>
                <w:sz w:val="18"/>
                <w:szCs w:val="18"/>
              </w:rPr>
              <w:t xml:space="preserve">RUN groupadd --system appgroup &amp;&amp; useradd --system --gid appgroup appuser</w:t>
            </w:r>
          </w:p>
          <w:p>
            <w:pPr>
              <w:spacing w:after="20"/>
            </w:pPr>
            <w:r>
              <w:rPr>
                <w:rFonts w:ascii="Courier New" w:cs="Courier New" w:eastAsia="Courier New" w:hAnsi="Courier New"/>
                <w:color w:val="58D68D"/>
                <w:sz w:val="18"/>
                <w:szCs w:val="18"/>
              </w:rPr>
              <w:t xml:space="preserve">WORKDIR /app</w:t>
            </w:r>
          </w:p>
          <w:p>
            <w:pPr>
              <w:spacing w:after="20"/>
            </w:pPr>
            <w:r>
              <w:rPr>
                <w:rFonts w:ascii="Courier New" w:cs="Courier New" w:eastAsia="Courier New" w:hAnsi="Courier New"/>
                <w:color w:val="58D68D"/>
                <w:sz w:val="18"/>
                <w:szCs w:val="18"/>
              </w:rPr>
              <w:t xml:space="preserve">COPY --from=builder /build/target/app.jar app.jar</w:t>
            </w:r>
          </w:p>
          <w:p>
            <w:pPr>
              <w:spacing w:after="20"/>
            </w:pPr>
            <w:r>
              <w:rPr>
                <w:rFonts w:ascii="Courier New" w:cs="Courier New" w:eastAsia="Courier New" w:hAnsi="Courier New"/>
                <w:color w:val="58D68D"/>
                <w:sz w:val="18"/>
                <w:szCs w:val="18"/>
              </w:rPr>
              <w:t xml:space="preserve">USER appuser</w:t>
            </w:r>
          </w:p>
          <w:p>
            <w:pPr>
              <w:spacing w:after="20"/>
            </w:pPr>
            <w:r>
              <w:rPr>
                <w:rFonts w:ascii="Courier New" w:cs="Courier New" w:eastAsia="Courier New" w:hAnsi="Courier New"/>
                <w:color w:val="58D68D"/>
                <w:sz w:val="18"/>
                <w:szCs w:val="18"/>
              </w:rPr>
              <w:t xml:space="preserve">EXPOSE 8080</w:t>
            </w:r>
          </w:p>
          <w:p>
            <w:pPr>
              <w:spacing w:after="20"/>
            </w:pPr>
            <w:r>
              <w:rPr>
                <w:rFonts w:ascii="Courier New" w:cs="Courier New" w:eastAsia="Courier New" w:hAnsi="Courier New"/>
                <w:color w:val="58D68D"/>
                <w:sz w:val="18"/>
                <w:szCs w:val="18"/>
              </w:rPr>
              <w:t xml:space="preserve">ENTRYPOINT ["java", "-XX:+UseContainerSupport", "-XX:MaxRAMPercentage=75.0", "-jar", "app.jar"]</w:t>
            </w:r>
          </w:p>
        </w:tc>
      </w:tr>
    </w:tbl>
    <w:p>
      <w:pPr>
        <w:spacing w:after="200"/>
      </w:pPr>
      <w:r>
        <w:t xml:space="preserve"/>
      </w:r>
    </w:p>
    <w:p>
      <w:pPr>
        <w:spacing w:after="160"/>
        <w:jc w:val="both"/>
      </w:pPr>
      <w:r>
        <w:rPr>
          <w:color w:val="1A1A1A"/>
          <w:sz w:val="22"/>
          <w:szCs w:val="22"/>
        </w:rPr>
        <w:t xml:space="preserve">The result is a production image containing only the JRE (not the full JDK), the compiled JAR, and nothing else. No Maven, no source code, no test dependencies. Smaller, faster, and significantly less attack surface.</w:t>
      </w:r>
    </w:p>
    <w:p>
      <w:pPr>
        <w:pStyle w:val="Heading2"/>
        <w:spacing w:after="120" w:before="0"/>
      </w:pPr>
      <w:r>
        <w:t xml:space="preserve">4.3 JVM Tuning for Containers</w:t>
      </w:r>
    </w:p>
    <w:p>
      <w:pPr>
        <w:spacing w:after="160"/>
        <w:jc w:val="both"/>
      </w:pPr>
      <w:r>
        <w:rPr>
          <w:color w:val="1A1A1A"/>
          <w:sz w:val="22"/>
          <w:szCs w:val="22"/>
        </w:rPr>
        <w:t xml:space="preserve">The JVM was originally designed before containers existed, and by default reads memory limits from the host machine rather than the container. Running an untuned JVM in a container with memory limits produces unpredictable behavior — the JVM may attempt to use more heap than the container allows, causing OOM 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b/>
                <w:bCs/>
                <w:color w:val="0B2942"/>
                <w:sz w:val="20"/>
                <w:szCs w:val="20"/>
              </w:rPr>
              <w:t xml:space="preserve">-XX:+UseContainerSupport</w:t>
            </w:r>
          </w:p>
        </w:tc>
        <w:tc>
          <w:tcPr>
            <w:tcW w:type="dxa" w:w="64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color w:val="1A1A1A"/>
                <w:sz w:val="20"/>
                <w:szCs w:val="20"/>
              </w:rPr>
              <w:t xml:space="preserve">Tells the JVM to respect container resource limits rather than reading from the host.</w:t>
            </w:r>
          </w:p>
        </w:tc>
      </w:tr>
      <w:tr>
        <w:tc>
          <w:tcPr>
            <w:tcW w:type="dxa" w:w="28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b/>
                <w:bCs/>
                <w:color w:val="0B2942"/>
                <w:sz w:val="20"/>
                <w:szCs w:val="20"/>
              </w:rPr>
              <w:t xml:space="preserve">-XX:MaxRAMPercentage=75.0</w:t>
            </w:r>
          </w:p>
        </w:tc>
        <w:tc>
          <w:tcPr>
            <w:tcW w:type="dxa" w:w="64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color w:val="1A1A1A"/>
                <w:sz w:val="20"/>
                <w:szCs w:val="20"/>
              </w:rPr>
              <w:t xml:space="preserve">Allocates up to 75% of container RAM to the heap, leaving 25% for metaspace, thread stacks, and native memory.</w:t>
            </w:r>
          </w:p>
        </w:tc>
      </w:tr>
      <w:tr>
        <w:tc>
          <w:tcPr>
            <w:tcW w:type="dxa" w:w="28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b/>
                <w:bCs/>
                <w:color w:val="0B2942"/>
                <w:sz w:val="20"/>
                <w:szCs w:val="20"/>
              </w:rPr>
              <w:t xml:space="preserve">-Djava.security.egd=...</w:t>
            </w:r>
          </w:p>
        </w:tc>
        <w:tc>
          <w:tcPr>
            <w:tcW w:type="dxa" w:w="64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color w:val="1A1A1A"/>
                <w:sz w:val="20"/>
                <w:szCs w:val="20"/>
              </w:rPr>
              <w:t xml:space="preserve">Uses /dev/urandom instead of /dev/random for SecureRandom seeding, avoiding startup delays in environments where entropy is scarce.</w:t>
            </w:r>
          </w:p>
        </w:tc>
      </w:tr>
    </w:tbl>
    <w:p>
      <w:pPr>
        <w:spacing w:after="300"/>
      </w:pPr>
      <w:r>
        <w:t xml:space="preserve"/>
      </w:r>
    </w:p>
    <w:p>
      <w:pPr>
        <w:pStyle w:val="Heading1"/>
        <w:spacing w:after="160" w:before="0"/>
      </w:pPr>
      <w:r>
        <w:t xml:space="preserve">5. CI/CD Pipeline</w:t>
      </w:r>
    </w:p>
    <w:p>
      <w:pPr>
        <w:pStyle w:val="Heading2"/>
        <w:spacing w:after="120" w:before="0"/>
      </w:pPr>
      <w:r>
        <w:t xml:space="preserve">5.1 Continuous Integration</w:t>
      </w:r>
    </w:p>
    <w:p>
      <w:pPr>
        <w:spacing w:after="160"/>
        <w:jc w:val="both"/>
      </w:pPr>
      <w:r>
        <w:rPr>
          <w:color w:val="1A1A1A"/>
          <w:sz w:val="22"/>
          <w:szCs w:val="22"/>
        </w:rPr>
        <w:t xml:space="preserve">The CI pipeline runs on every push to main and every pull request. It is the automated quality gate — nothing deploys unless this pipeline passes. GitHub-hosted runners have Docker pre-installed, which means Testcontainers integration tests run in CI with no additional infrastructure configuration.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b/>
                <w:bCs/>
                <w:color w:val="0B2942"/>
                <w:sz w:val="20"/>
                <w:szCs w:val="20"/>
              </w:rPr>
              <w:t xml:space="preserve">Step 1: Checkout</w:t>
            </w:r>
          </w:p>
        </w:tc>
        <w:tc>
          <w:tcPr>
            <w:tcW w:type="dxa" w:w="64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color w:val="1A1A1A"/>
                <w:sz w:val="20"/>
                <w:szCs w:val="20"/>
              </w:rPr>
              <w:t xml:space="preserve">Clone the repository at the triggering commit SHA.</w:t>
            </w:r>
          </w:p>
        </w:tc>
      </w:tr>
      <w:tr>
        <w:tc>
          <w:tcPr>
            <w:tcW w:type="dxa" w:w="28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b/>
                <w:bCs/>
                <w:color w:val="0B2942"/>
                <w:sz w:val="20"/>
                <w:szCs w:val="20"/>
              </w:rPr>
              <w:t xml:space="preserve">Step 2: Setup Java 21</w:t>
            </w:r>
          </w:p>
        </w:tc>
        <w:tc>
          <w:tcPr>
            <w:tcW w:type="dxa" w:w="64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color w:val="1A1A1A"/>
                <w:sz w:val="20"/>
                <w:szCs w:val="20"/>
              </w:rPr>
              <w:t xml:space="preserve">Install the correct JDK version, with Maven dependency caching enabled.</w:t>
            </w:r>
          </w:p>
        </w:tc>
      </w:tr>
      <w:tr>
        <w:tc>
          <w:tcPr>
            <w:tcW w:type="dxa" w:w="28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b/>
                <w:bCs/>
                <w:color w:val="0B2942"/>
                <w:sz w:val="20"/>
                <w:szCs w:val="20"/>
              </w:rPr>
              <w:t xml:space="preserve">Step 3: Run tests</w:t>
            </w:r>
          </w:p>
        </w:tc>
        <w:tc>
          <w:tcPr>
            <w:tcW w:type="dxa" w:w="64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color w:val="1A1A1A"/>
                <w:sz w:val="20"/>
                <w:szCs w:val="20"/>
              </w:rPr>
              <w:t xml:space="preserve">Execute all 38 tests. If any fail, the pipeline stops here. Nothing proceeds.</w:t>
            </w:r>
          </w:p>
        </w:tc>
      </w:tr>
      <w:tr>
        <w:tc>
          <w:tcPr>
            <w:tcW w:type="dxa" w:w="28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b/>
                <w:bCs/>
                <w:color w:val="0B2942"/>
                <w:sz w:val="20"/>
                <w:szCs w:val="20"/>
              </w:rPr>
              <w:t xml:space="preserve">Step 4: Build JAR</w:t>
            </w:r>
          </w:p>
        </w:tc>
        <w:tc>
          <w:tcPr>
            <w:tcW w:type="dxa" w:w="64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color w:val="1A1A1A"/>
                <w:sz w:val="20"/>
                <w:szCs w:val="20"/>
              </w:rPr>
              <w:t xml:space="preserve">Package the application JAR (tests already passed, so skip them here).</w:t>
            </w:r>
          </w:p>
        </w:tc>
      </w:tr>
      <w:tr>
        <w:tc>
          <w:tcPr>
            <w:tcW w:type="dxa" w:w="28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b/>
                <w:bCs/>
                <w:color w:val="0B2942"/>
                <w:sz w:val="20"/>
                <w:szCs w:val="20"/>
              </w:rPr>
              <w:t xml:space="preserve">Step 5: Build image</w:t>
            </w:r>
          </w:p>
        </w:tc>
        <w:tc>
          <w:tcPr>
            <w:tcW w:type="dxa" w:w="64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color w:val="1A1A1A"/>
                <w:sz w:val="20"/>
                <w:szCs w:val="20"/>
              </w:rPr>
              <w:t xml:space="preserve">Build the Docker image to verify the Dockerfile is always valid.</w:t>
            </w:r>
          </w:p>
        </w:tc>
      </w:tr>
      <w:tr>
        <w:tc>
          <w:tcPr>
            <w:tcW w:type="dxa" w:w="28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b/>
                <w:bCs/>
                <w:color w:val="0B2942"/>
                <w:sz w:val="20"/>
                <w:szCs w:val="20"/>
              </w:rPr>
              <w:t xml:space="preserve">Step 6: Upload JAR</w:t>
            </w:r>
          </w:p>
        </w:tc>
        <w:tc>
          <w:tcPr>
            <w:tcW w:type="dxa" w:w="64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color w:val="1A1A1A"/>
                <w:sz w:val="20"/>
                <w:szCs w:val="20"/>
              </w:rPr>
              <w:t xml:space="preserve">Store the JAR as a build artifact for 7 days (available for deploy pipeline).</w:t>
            </w:r>
          </w:p>
        </w:tc>
      </w:tr>
    </w:tbl>
    <w:p>
      <w:pPr>
        <w:pStyle w:val="Heading2"/>
        <w:spacing w:after="120" w:before="0"/>
      </w:pPr>
      <w:r>
        <w:t xml:space="preserve">5.2 Continuous Deployment</w:t>
      </w:r>
    </w:p>
    <w:p>
      <w:pPr>
        <w:spacing w:after="160"/>
        <w:jc w:val="both"/>
      </w:pPr>
      <w:r>
        <w:rPr>
          <w:color w:val="1A1A1A"/>
          <w:sz w:val="22"/>
          <w:szCs w:val="22"/>
        </w:rPr>
        <w:t xml:space="preserve">The deploy pipeline runs only on pushes to main (not pull requests). It extends the CI steps with image push and Cloud Run deployment:</w:t>
      </w:r>
    </w:p>
    <w:p>
      <w:pPr>
        <w:pStyle w:val="ListParagraph"/>
        <w:numPr>
          <w:ilvl w:val="0"/>
          <w:numId w:val="2"/>
        </w:numPr>
        <w:spacing w:after="80"/>
      </w:pPr>
      <w:r>
        <w:rPr>
          <w:color w:val="1A1A1A"/>
          <w:sz w:val="22"/>
          <w:szCs w:val="22"/>
        </w:rPr>
        <w:t xml:space="preserve">Build and push the Docker image to GCP Artifact Registry, tagged with both the git commit SHA and 'latest'.</w:t>
      </w:r>
    </w:p>
    <w:p>
      <w:pPr>
        <w:pStyle w:val="ListParagraph"/>
        <w:numPr>
          <w:ilvl w:val="0"/>
          <w:numId w:val="2"/>
        </w:numPr>
        <w:spacing w:after="80"/>
      </w:pPr>
      <w:r>
        <w:rPr>
          <w:color w:val="1A1A1A"/>
          <w:sz w:val="22"/>
          <w:szCs w:val="22"/>
        </w:rPr>
        <w:t xml:space="preserve">Deploy the SHA-tagged image to Cloud Run using gcloud run deploy.</w:t>
      </w:r>
    </w:p>
    <w:p>
      <w:pPr>
        <w:pStyle w:val="ListParagraph"/>
        <w:numPr>
          <w:ilvl w:val="0"/>
          <w:numId w:val="2"/>
        </w:numPr>
        <w:spacing w:after="80"/>
      </w:pPr>
      <w:r>
        <w:rPr>
          <w:color w:val="1A1A1A"/>
          <w:sz w:val="22"/>
          <w:szCs w:val="22"/>
        </w:rPr>
        <w:t xml:space="preserve">Output the Cloud Run service URL for verification.</w:t>
      </w:r>
    </w:p>
    <w:p>
      <w:pPr>
        <w:spacing w:after="200"/>
      </w:pPr>
      <w:r>
        <w:t xml:space="preserve"/>
      </w:r>
    </w:p>
    <w:p>
      <w:pPr>
        <w:spacing w:after="160"/>
        <w:jc w:val="both"/>
      </w:pPr>
      <w:r>
        <w:rPr>
          <w:color w:val="1A1A1A"/>
          <w:sz w:val="22"/>
          <w:szCs w:val="22"/>
        </w:rPr>
        <w:t xml:space="preserve">The SHA tag is critical for rollback. If a deployment introduces a regression, rolling back is a single command specifying the previous SHA's image tag — no rebuild required.</w:t>
      </w:r>
    </w:p>
    <w:p>
      <w:pPr>
        <w:pStyle w:val="Heading2"/>
        <w:spacing w:after="120" w:before="0"/>
      </w:pPr>
      <w:r>
        <w:t xml:space="preserve">5.3 Java Version Compatibility</w:t>
      </w:r>
    </w:p>
    <w:p>
      <w:pPr>
        <w:spacing w:after="160"/>
        <w:jc w:val="both"/>
      </w:pPr>
      <w:r>
        <w:rPr>
          <w:color w:val="1A1A1A"/>
          <w:sz w:val="22"/>
          <w:szCs w:val="22"/>
        </w:rPr>
        <w:t xml:space="preserve">A practical note for teams using recent JDK versions locally: Java 25 (the latest at time of writing) is too new for the Spring Boot 3.4.1 Maven plugin's embedded tooling. The project targets Java 21, which is the current LTS release. When running tests locally under Java 25, Mockito's inline mock maker fails to modify certain classes due to JVM bytecode restrictions tightened in Java 21+.</w:t>
      </w:r>
    </w:p>
    <w:p>
      <w:pPr>
        <w:spacing w:after="160"/>
        <w:jc w:val="both"/>
      </w:pPr>
      <w:r>
        <w:rPr>
          <w:color w:val="1A1A1A"/>
          <w:sz w:val="22"/>
          <w:szCs w:val="22"/>
        </w:rPr>
        <w:t xml:space="preserve">The correct fix is to ensure the local Maven invocation uses Java 21 explicitly via a wrapper script or JAVA_HOME override — not to downgrade Mockito or change the test code. This is a toolchain compatibility issue, not a code issue.</w:t>
      </w:r>
    </w:p>
    <w:p>
      <w:pPr>
        <w:spacing w:after="300"/>
      </w:pPr>
      <w:r>
        <w:t xml:space="preserve"/>
      </w:r>
    </w:p>
    <w:p>
      <w:pPr>
        <w:pStyle w:val="Heading1"/>
        <w:spacing w:after="160" w:before="0"/>
      </w:pPr>
      <w:r>
        <w:t xml:space="preserve">6. Cloud Deployment Architecture</w:t>
      </w:r>
    </w:p>
    <w:p>
      <w:pPr>
        <w:pStyle w:val="Heading2"/>
        <w:spacing w:after="120" w:before="0"/>
      </w:pPr>
      <w:r>
        <w:t xml:space="preserve">6.1 Google Cloud Run</w:t>
      </w:r>
    </w:p>
    <w:p>
      <w:pPr>
        <w:spacing w:after="160"/>
        <w:jc w:val="both"/>
      </w:pPr>
      <w:r>
        <w:rPr>
          <w:color w:val="1A1A1A"/>
          <w:sz w:val="22"/>
          <w:szCs w:val="22"/>
        </w:rPr>
        <w:t xml:space="preserve">Cloud Run is a serverless container platform — it runs Docker containers without requiring you to provision or manage VMs, Kubernetes clusters, or load balancers. It auto-scales based on incoming request volume, including scaling to zero instances when there is no traffic (eliminating idle infrastructure costs in non-production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b/>
                <w:bCs/>
                <w:color w:val="0B2942"/>
                <w:sz w:val="20"/>
                <w:szCs w:val="20"/>
              </w:rPr>
              <w:t xml:space="preserve">--no-allow-unauthenticated</w:t>
            </w:r>
          </w:p>
        </w:tc>
        <w:tc>
          <w:tcPr>
            <w:tcW w:type="dxa" w:w="64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color w:val="1A1A1A"/>
                <w:sz w:val="20"/>
                <w:szCs w:val="20"/>
              </w:rPr>
              <w:t xml:space="preserve">Non-production environments are not publicly accessible. Access requires an authenticated GCP identity with run.invoker role. Reached via gcloud run services proxy.</w:t>
            </w:r>
          </w:p>
        </w:tc>
      </w:tr>
      <w:tr>
        <w:tc>
          <w:tcPr>
            <w:tcW w:type="dxa" w:w="28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b/>
                <w:bCs/>
                <w:color w:val="0B2942"/>
                <w:sz w:val="20"/>
                <w:szCs w:val="20"/>
              </w:rPr>
              <w:t xml:space="preserve">--min-instances=0</w:t>
            </w:r>
          </w:p>
        </w:tc>
        <w:tc>
          <w:tcPr>
            <w:tcW w:type="dxa" w:w="64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color w:val="1A1A1A"/>
                <w:sz w:val="20"/>
                <w:szCs w:val="20"/>
              </w:rPr>
              <w:t xml:space="preserve">Scale to zero when idle. Zero cost between deployments in dev.</w:t>
            </w:r>
          </w:p>
        </w:tc>
      </w:tr>
      <w:tr>
        <w:tc>
          <w:tcPr>
            <w:tcW w:type="dxa" w:w="28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b/>
                <w:bCs/>
                <w:color w:val="0B2942"/>
                <w:sz w:val="20"/>
                <w:szCs w:val="20"/>
              </w:rPr>
              <w:t xml:space="preserve">--max-instances=10</w:t>
            </w:r>
          </w:p>
        </w:tc>
        <w:tc>
          <w:tcPr>
            <w:tcW w:type="dxa" w:w="64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color w:val="1A1A1A"/>
                <w:sz w:val="20"/>
                <w:szCs w:val="20"/>
              </w:rPr>
              <w:t xml:space="preserve">Hard ceiling protects against runaway cost from traffic spikes, scrapers, or DDoS.</w:t>
            </w:r>
          </w:p>
        </w:tc>
      </w:tr>
      <w:tr>
        <w:tc>
          <w:tcPr>
            <w:tcW w:type="dxa" w:w="28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b/>
                <w:bCs/>
                <w:color w:val="0B2942"/>
                <w:sz w:val="20"/>
                <w:szCs w:val="20"/>
              </w:rPr>
              <w:t xml:space="preserve">--memory=512Mi</w:t>
            </w:r>
          </w:p>
        </w:tc>
        <w:tc>
          <w:tcPr>
            <w:tcW w:type="dxa" w:w="64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color w:val="1A1A1A"/>
                <w:sz w:val="20"/>
                <w:szCs w:val="20"/>
              </w:rPr>
              <w:t xml:space="preserve">Memory limit. Combined with -XX:MaxRAMPercentage=75.0, the JVM gets up to 384MB heap.</w:t>
            </w:r>
          </w:p>
        </w:tc>
      </w:tr>
    </w:tbl>
    <w:p>
      <w:pPr>
        <w:pStyle w:val="Heading2"/>
        <w:spacing w:after="120" w:before="0"/>
      </w:pPr>
      <w:r>
        <w:t xml:space="preserve">6.2 MongoDB Atlas</w:t>
      </w:r>
    </w:p>
    <w:p>
      <w:pPr>
        <w:spacing w:after="160"/>
        <w:jc w:val="both"/>
      </w:pPr>
      <w:r>
        <w:rPr>
          <w:color w:val="1A1A1A"/>
          <w:sz w:val="22"/>
          <w:szCs w:val="22"/>
        </w:rPr>
        <w:t xml:space="preserve">MongoDB Atlas is a fully managed cloud database service. The dev environment uses an M0 (free tier) cluster on GCP / Iowa (us-central1) — the same region as the Cloud Run service, minimizing network latency.</w:t>
      </w:r>
    </w:p>
    <w:p>
      <w:pPr>
        <w:spacing w:after="160"/>
        <w:jc w:val="both"/>
      </w:pPr>
      <w:r>
        <w:rPr>
          <w:color w:val="1A1A1A"/>
          <w:sz w:val="22"/>
          <w:szCs w:val="22"/>
        </w:rPr>
        <w:t xml:space="preserve">A critical operational note: special characters in database passwords must be URL-encoded when embedded in a MongoDB connection string URI. The @ character is a reserved delimiter that separates credentials from the host — if a password contains @, it must be written as %40. Failure to encode produces a cryptic authentication error that does not clearly identify the root cause.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20"/>
        <w:gridCol w:w="8640"/>
      </w:tblGrid>
      <w:tr>
        <w:tc>
          <w:tcPr>
            <w:tcW w:type="dxa" w:w="720"/>
            <w:tcBorders>
              <w:top w:val="none"/>
              <w:left w:val="none"/>
              <w:bottom w:val="none"/>
              <w:right w:val="none"/>
            </w:tcBorders>
            <w:shd w:fill="B8935A" w:color="B8935A" w:val="clear"/>
          </w:tcPr>
          <w:p>
            <w:r>
              <w:rPr>
                <w:sz w:val="22"/>
                <w:szCs w:val="22"/>
              </w:rPr>
              <w:t xml:space="preserve"/>
            </w:r>
          </w:p>
        </w:tc>
        <w:tc>
          <w:tcPr>
            <w:tcW w:type="dxa" w:w="8640"/>
            <w:tcBorders>
              <w:top w:val="none"/>
              <w:left w:val="none"/>
              <w:bottom w:val="none"/>
              <w:right w:val="none"/>
            </w:tcBorders>
            <w:shd w:fill="F4F6F8" w:color="F4F6F8" w:val="clear"/>
            <w:tcMar>
              <w:top w:type="dxa" w:w="120"/>
              <w:left w:type="dxa" w:w="200"/>
              <w:bottom w:type="dxa" w:w="120"/>
              <w:right w:type="dxa" w:w="120"/>
            </w:tcMar>
          </w:tcPr>
          <w:p>
            <w:pPr>
              <w:spacing w:after="60"/>
            </w:pPr>
            <w:r>
              <w:rPr>
                <w:b/>
                <w:bCs/>
                <w:color w:val="0B2942"/>
                <w:sz w:val="20"/>
                <w:szCs w:val="20"/>
              </w:rPr>
              <w:t xml:space="preserve">URL Encoding Rule</w:t>
            </w:r>
          </w:p>
          <w:p>
            <w:pPr>
              <w:spacing w:after="0"/>
            </w:pPr>
            <w:r>
              <w:rPr>
                <w:i/>
                <w:iCs/>
                <w:color w:val="5B6B78"/>
                <w:sz w:val="20"/>
                <w:szCs w:val="20"/>
              </w:rPr>
              <w:t xml:space="preserve">Always URL-encode special characters in MongoDB URIs: @ → %40, : → %3A, / → %2F, ? → %3F. Alternatively, use passwords containing only letters and numbers to avoid the issue entirely.</w:t>
            </w:r>
          </w:p>
        </w:tc>
      </w:tr>
    </w:tbl>
    <w:p>
      <w:pPr>
        <w:spacing w:after="300"/>
      </w:pPr>
      <w:r>
        <w:t xml:space="preserve"/>
      </w:r>
    </w:p>
    <w:p>
      <w:pPr>
        <w:pStyle w:val="Heading1"/>
        <w:spacing w:after="160" w:before="0"/>
      </w:pPr>
      <w:r>
        <w:t xml:space="preserve">7. Security Architecture</w:t>
      </w:r>
    </w:p>
    <w:p>
      <w:pPr>
        <w:pStyle w:val="Heading2"/>
        <w:spacing w:after="120" w:before="0"/>
      </w:pPr>
      <w:r>
        <w:t xml:space="preserve">7.1 Workload Identity Federation</w:t>
      </w:r>
    </w:p>
    <w:p>
      <w:pPr>
        <w:spacing w:after="160"/>
        <w:jc w:val="both"/>
      </w:pPr>
      <w:r>
        <w:rPr>
          <w:color w:val="1A1A1A"/>
          <w:sz w:val="22"/>
          <w:szCs w:val="22"/>
        </w:rPr>
        <w:t xml:space="preserve">The traditional approach to authenticating CI/CD pipelines to cloud providers involves creating a service account, generating a JSON key file, and storing that key file as a long-lived secret. This approach has a well-known weakness: the key file is a credential that never expires and can be stolen, leaked, or mistakenly committed to version control.</w:t>
      </w:r>
    </w:p>
    <w:p>
      <w:pPr>
        <w:spacing w:after="160"/>
        <w:jc w:val="both"/>
      </w:pPr>
      <w:r>
        <w:rPr>
          <w:color w:val="1A1A1A"/>
          <w:sz w:val="22"/>
          <w:szCs w:val="22"/>
        </w:rPr>
        <w:t xml:space="preserve">Workload Identity Federation replaces this with short-lived, automatically-expiring OIDC tokens. The flow is:</w:t>
      </w:r>
    </w:p>
    <w:p>
      <w:pPr>
        <w:pStyle w:val="ListParagraph"/>
        <w:numPr>
          <w:ilvl w:val="0"/>
          <w:numId w:val="2"/>
        </w:numPr>
        <w:spacing w:after="80"/>
      </w:pPr>
      <w:r>
        <w:rPr>
          <w:color w:val="1A1A1A"/>
          <w:sz w:val="22"/>
          <w:szCs w:val="22"/>
        </w:rPr>
        <w:t xml:space="preserve">GitHub Actions generates a short-lived OIDC token scoped to the specific workflow run.</w:t>
      </w:r>
    </w:p>
    <w:p>
      <w:pPr>
        <w:pStyle w:val="ListParagraph"/>
        <w:numPr>
          <w:ilvl w:val="0"/>
          <w:numId w:val="2"/>
        </w:numPr>
        <w:spacing w:after="80"/>
      </w:pPr>
      <w:r>
        <w:rPr>
          <w:color w:val="1A1A1A"/>
          <w:sz w:val="22"/>
          <w:szCs w:val="22"/>
        </w:rPr>
        <w:t xml:space="preserve">GCP's Workload Identity Pool verifies the token against GitHub's OIDC provider.</w:t>
      </w:r>
    </w:p>
    <w:p>
      <w:pPr>
        <w:pStyle w:val="ListParagraph"/>
        <w:numPr>
          <w:ilvl w:val="0"/>
          <w:numId w:val="2"/>
        </w:numPr>
        <w:spacing w:after="80"/>
      </w:pPr>
      <w:r>
        <w:rPr>
          <w:color w:val="1A1A1A"/>
          <w:sz w:val="22"/>
          <w:szCs w:val="22"/>
        </w:rPr>
        <w:t xml:space="preserve">The token is exchanged for a short-lived GCP access token scoped to the service account.</w:t>
      </w:r>
    </w:p>
    <w:p>
      <w:pPr>
        <w:pStyle w:val="ListParagraph"/>
        <w:numPr>
          <w:ilvl w:val="0"/>
          <w:numId w:val="2"/>
        </w:numPr>
        <w:spacing w:after="80"/>
      </w:pPr>
      <w:r>
        <w:rPr>
          <w:color w:val="1A1A1A"/>
          <w:sz w:val="22"/>
          <w:szCs w:val="22"/>
        </w:rPr>
        <w:t xml:space="preserve">The access token expires automatically at the end of the workflow run.</w:t>
      </w:r>
    </w:p>
    <w:p>
      <w:pPr>
        <w:spacing w:after="200"/>
      </w:pPr>
      <w:r>
        <w:t xml:space="preserve"/>
      </w:r>
    </w:p>
    <w:p>
      <w:pPr>
        <w:spacing w:after="160"/>
        <w:jc w:val="both"/>
      </w:pPr>
      <w:r>
        <w:rPr>
          <w:color w:val="1A1A1A"/>
          <w:sz w:val="22"/>
          <w:szCs w:val="22"/>
        </w:rPr>
        <w:t xml:space="preserve">No long-lived credential ever exists. There is nothing to steal, leak, or rotate. This is the current industry best practice for cloud authentication from CI/CD systems.</w:t>
      </w:r>
    </w:p>
    <w:p>
      <w:pPr>
        <w:pStyle w:val="Heading2"/>
        <w:spacing w:after="120" w:before="0"/>
      </w:pPr>
      <w:r>
        <w:t xml:space="preserve">7.2 Principle of Least Privilege</w:t>
      </w:r>
    </w:p>
    <w:p>
      <w:pPr>
        <w:spacing w:after="160"/>
        <w:jc w:val="both"/>
      </w:pPr>
      <w:r>
        <w:rPr>
          <w:color w:val="1A1A1A"/>
          <w:sz w:val="22"/>
          <w:szCs w:val="22"/>
        </w:rPr>
        <w:t xml:space="preserve">The GitHub Actions service account is granted only the roles it needs:</w:t>
      </w:r>
    </w:p>
    <w:p>
      <w:pPr>
        <w:pStyle w:val="ListParagraph"/>
        <w:numPr>
          <w:ilvl w:val="0"/>
          <w:numId w:val="2"/>
        </w:numPr>
        <w:spacing w:after="80"/>
      </w:pPr>
      <w:r>
        <w:rPr>
          <w:color w:val="1A1A1A"/>
          <w:sz w:val="22"/>
          <w:szCs w:val="22"/>
        </w:rPr>
        <w:t xml:space="preserve">roles/artifactregistry.writer — push Docker images to Artifact Registry.</w:t>
      </w:r>
    </w:p>
    <w:p>
      <w:pPr>
        <w:pStyle w:val="ListParagraph"/>
        <w:numPr>
          <w:ilvl w:val="0"/>
          <w:numId w:val="2"/>
        </w:numPr>
        <w:spacing w:after="80"/>
      </w:pPr>
      <w:r>
        <w:rPr>
          <w:color w:val="1A1A1A"/>
          <w:sz w:val="22"/>
          <w:szCs w:val="22"/>
        </w:rPr>
        <w:t xml:space="preserve">roles/run.admin — deploy and manage Cloud Run services.</w:t>
      </w:r>
    </w:p>
    <w:p>
      <w:pPr>
        <w:pStyle w:val="ListParagraph"/>
        <w:numPr>
          <w:ilvl w:val="0"/>
          <w:numId w:val="2"/>
        </w:numPr>
        <w:spacing w:after="80"/>
      </w:pPr>
      <w:r>
        <w:rPr>
          <w:color w:val="1A1A1A"/>
          <w:sz w:val="22"/>
          <w:szCs w:val="22"/>
        </w:rPr>
        <w:t xml:space="preserve">roles/iam.serviceAccountUser — impersonate the compute service account (required for Cloud Run deployments).</w:t>
      </w:r>
    </w:p>
    <w:p>
      <w:pPr>
        <w:spacing w:after="200"/>
      </w:pPr>
      <w:r>
        <w:t xml:space="preserve"/>
      </w:r>
    </w:p>
    <w:p>
      <w:pPr>
        <w:spacing w:after="160"/>
        <w:jc w:val="both"/>
      </w:pPr>
      <w:r>
        <w:rPr>
          <w:color w:val="1A1A1A"/>
          <w:sz w:val="22"/>
          <w:szCs w:val="22"/>
        </w:rPr>
        <w:t xml:space="preserve">It is not granted Owner, Editor, or any broad role. If this service account were compromised, the blast radius is limited to those three capabilities in that one GCP project.</w:t>
      </w:r>
    </w:p>
    <w:p>
      <w:pPr>
        <w:pStyle w:val="Heading2"/>
        <w:spacing w:after="120" w:before="0"/>
      </w:pPr>
      <w:r>
        <w:t xml:space="preserve">7.3 Secrets Management</w:t>
      </w:r>
    </w:p>
    <w:p>
      <w:pPr>
        <w:spacing w:after="160"/>
        <w:jc w:val="both"/>
      </w:pPr>
      <w:r>
        <w:rPr>
          <w:color w:val="1A1A1A"/>
          <w:sz w:val="22"/>
          <w:szCs w:val="22"/>
        </w:rPr>
        <w:t xml:space="preserve">Sensitive values — database connection strings, API keys, tokens — are stored as GitHub Actions repository secrets. They are injected into workflow runs as environment variables and never appear in logs, Docker images, or version control. GitHub automatically redacts secret values if they appear in log output.</w:t>
      </w:r>
    </w:p>
    <w:p>
      <w:pPr>
        <w:spacing w:after="160"/>
        <w:jc w:val="both"/>
      </w:pPr>
      <w:r>
        <w:rPr>
          <w:color w:val="1A1A1A"/>
          <w:sz w:val="22"/>
          <w:szCs w:val="22"/>
        </w:rPr>
        <w:t xml:space="preserve">For public repositories (where workflow files are visible to anyone), this is particularly important: the workflow file itself can show which secrets are used (e.g., ${{ secrets.MONGODB_URI }}) but never their values.</w:t>
      </w:r>
    </w:p>
    <w:p>
      <w:pPr>
        <w:spacing w:after="300"/>
      </w:pPr>
      <w:r>
        <w:t xml:space="preserve"/>
      </w:r>
    </w:p>
    <w:p>
      <w:pPr>
        <w:pStyle w:val="Heading1"/>
        <w:spacing w:after="160" w:before="0"/>
      </w:pPr>
      <w:r>
        <w:t xml:space="preserve">8. Domain-Driven Backend Design</w:t>
      </w:r>
    </w:p>
    <w:p>
      <w:pPr>
        <w:spacing w:after="160"/>
        <w:jc w:val="both"/>
      </w:pPr>
      <w:r>
        <w:rPr>
          <w:color w:val="1A1A1A"/>
          <w:sz w:val="22"/>
          <w:szCs w:val="22"/>
        </w:rPr>
        <w:t xml:space="preserve">The backend is organized by business domain, not by technical layer. This is a deliberate architectural choice with significant long-term implications for maintainability.</w:t>
      </w:r>
    </w:p>
    <w:p>
      <w:pPr>
        <w:spacing w:after="200"/>
      </w:pPr>
      <w:r>
        <w:t xml:space="preserve"/>
      </w:r>
    </w:p>
    <w:p>
      <w:pPr>
        <w:spacing w:after="160"/>
        <w:jc w:val="both"/>
      </w:pPr>
      <w:r>
        <w:rPr>
          <w:color w:val="1A1A1A"/>
          <w:sz w:val="22"/>
          <w:szCs w:val="22"/>
        </w:rPr>
        <w:t xml:space="preserve">The alternative — organizing by technical layer (controllers/, services/, repositories/) — creates implicit coupling between unrelated business concepts that happen to share the same technical role. A change to the contact form's business logic requires navigating across three separate directories. Domain-based organization keeps all the code for a single business capability co-located and independently navigable.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b/>
                <w:bCs/>
                <w:color w:val="0B2942"/>
                <w:sz w:val="20"/>
                <w:szCs w:val="20"/>
              </w:rPr>
              <w:t xml:space="preserve">people</w:t>
            </w:r>
          </w:p>
        </w:tc>
        <w:tc>
          <w:tcPr>
            <w:tcW w:type="dxa" w:w="64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color w:val="1A1A1A"/>
                <w:sz w:val="20"/>
                <w:szCs w:val="20"/>
              </w:rPr>
              <w:t xml:space="preserve">Foundational identity domain. Person model, email-based deduplication, engagement tracking. No domain depends on it being absent; every domain depends on it being present.</w:t>
            </w:r>
          </w:p>
        </w:tc>
      </w:tr>
      <w:tr>
        <w:tc>
          <w:tcPr>
            <w:tcW w:type="dxa" w:w="28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b/>
                <w:bCs/>
                <w:color w:val="0B2942"/>
                <w:sz w:val="20"/>
                <w:szCs w:val="20"/>
              </w:rPr>
              <w:t xml:space="preserve">profile</w:t>
            </w:r>
          </w:p>
        </w:tc>
        <w:tc>
          <w:tcPr>
            <w:tcW w:type="dxa" w:w="64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color w:val="1A1A1A"/>
                <w:sz w:val="20"/>
                <w:szCs w:val="20"/>
              </w:rPr>
              <w:t xml:space="preserve">Demographics and firmographics. Null-preserving merge semantics — fields can be filled in progressively from different sources without overwriting existing data.</w:t>
            </w:r>
          </w:p>
        </w:tc>
      </w:tr>
      <w:tr>
        <w:tc>
          <w:tcPr>
            <w:tcW w:type="dxa" w:w="28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b/>
                <w:bCs/>
                <w:color w:val="0B2942"/>
                <w:sz w:val="20"/>
                <w:szCs w:val="20"/>
              </w:rPr>
              <w:t xml:space="preserve">consent</w:t>
            </w:r>
          </w:p>
        </w:tc>
        <w:tc>
          <w:tcPr>
            <w:tcW w:type="dxa" w:w="64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color w:val="1A1A1A"/>
                <w:sz w:val="20"/>
                <w:szCs w:val="20"/>
              </w:rPr>
              <w:t xml:space="preserve">Marketing communication permissions. Append-only audit trail — a permission change creates a new record rather than mutating an existing one, enabling compliance queries.</w:t>
            </w:r>
          </w:p>
        </w:tc>
      </w:tr>
      <w:tr>
        <w:tc>
          <w:tcPr>
            <w:tcW w:type="dxa" w:w="28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b/>
                <w:bCs/>
                <w:color w:val="0B2942"/>
                <w:sz w:val="20"/>
                <w:szCs w:val="20"/>
              </w:rPr>
              <w:t xml:space="preserve">traffic</w:t>
            </w:r>
          </w:p>
        </w:tc>
        <w:tc>
          <w:tcPr>
            <w:tcW w:type="dxa" w:w="6480"/>
            <w:tcBorders>
              <w:top w:val="single" w:color="DDE4ED" w:sz="4"/>
              <w:left w:val="single" w:color="DDE4ED" w:sz="4"/>
              <w:bottom w:val="single" w:color="DDE4ED" w:sz="4"/>
              <w:right w:val="single" w:color="DDE4ED" w:sz="4"/>
            </w:tcBorders>
            <w:shd w:fill="FFFFFF" w:color="FFFFFF" w:val="clear"/>
            <w:tcMar>
              <w:top w:type="dxa" w:w="80"/>
              <w:left w:type="dxa" w:w="120"/>
              <w:bottom w:type="dxa" w:w="80"/>
              <w:right w:type="dxa" w:w="120"/>
            </w:tcMar>
          </w:tcPr>
          <w:p>
            <w:pPr>
              <w:spacing w:after="0"/>
            </w:pPr>
            <w:r>
              <w:rPr>
                <w:color w:val="1A1A1A"/>
                <w:sz w:val="20"/>
                <w:szCs w:val="20"/>
              </w:rPr>
              <w:t xml:space="preserve">Anonymous-until-matched visitor tracking. Sessions created with no identity; retroactively linked to a Person when the same session later provides an email address.</w:t>
            </w:r>
          </w:p>
        </w:tc>
      </w:tr>
      <w:tr>
        <w:tc>
          <w:tcPr>
            <w:tcW w:type="dxa" w:w="28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b/>
                <w:bCs/>
                <w:color w:val="0B2942"/>
                <w:sz w:val="20"/>
                <w:szCs w:val="20"/>
              </w:rPr>
              <w:t xml:space="preserve">contact</w:t>
            </w:r>
          </w:p>
        </w:tc>
        <w:tc>
          <w:tcPr>
            <w:tcW w:type="dxa" w:w="6480"/>
            <w:tcBorders>
              <w:top w:val="single" w:color="DDE4ED" w:sz="4"/>
              <w:left w:val="single" w:color="DDE4ED" w:sz="4"/>
              <w:bottom w:val="single" w:color="DDE4ED" w:sz="4"/>
              <w:right w:val="single" w:color="DDE4ED" w:sz="4"/>
            </w:tcBorders>
            <w:shd w:fill="EEF2F6" w:color="EEF2F6" w:val="clear"/>
            <w:tcMar>
              <w:top w:type="dxa" w:w="80"/>
              <w:left w:type="dxa" w:w="120"/>
              <w:bottom w:type="dxa" w:w="80"/>
              <w:right w:type="dxa" w:w="120"/>
            </w:tcMar>
          </w:tcPr>
          <w:p>
            <w:pPr>
              <w:spacing w:after="0"/>
            </w:pPr>
            <w:r>
              <w:rPr>
                <w:color w:val="1A1A1A"/>
                <w:sz w:val="20"/>
                <w:szCs w:val="20"/>
              </w:rPr>
              <w:t xml:space="preserve">First external-facing endpoint. Depends on all four foundational domains, calling findOrCreateByEmail() to unify identity across form submissions.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20"/>
        <w:gridCol w:w="8640"/>
      </w:tblGrid>
      <w:tr>
        <w:tc>
          <w:tcPr>
            <w:tcW w:type="dxa" w:w="720"/>
            <w:tcBorders>
              <w:top w:val="none"/>
              <w:left w:val="none"/>
              <w:bottom w:val="none"/>
              <w:right w:val="none"/>
            </w:tcBorders>
            <w:shd w:fill="B8935A" w:color="B8935A" w:val="clear"/>
          </w:tcPr>
          <w:p>
            <w:r>
              <w:rPr>
                <w:sz w:val="22"/>
                <w:szCs w:val="22"/>
              </w:rPr>
              <w:t xml:space="preserve"/>
            </w:r>
          </w:p>
        </w:tc>
        <w:tc>
          <w:tcPr>
            <w:tcW w:type="dxa" w:w="8640"/>
            <w:tcBorders>
              <w:top w:val="none"/>
              <w:left w:val="none"/>
              <w:bottom w:val="none"/>
              <w:right w:val="none"/>
            </w:tcBorders>
            <w:shd w:fill="F4F6F8" w:color="F4F6F8" w:val="clear"/>
            <w:tcMar>
              <w:top w:type="dxa" w:w="120"/>
              <w:left w:type="dxa" w:w="200"/>
              <w:bottom w:type="dxa" w:w="120"/>
              <w:right w:type="dxa" w:w="120"/>
            </w:tcMar>
          </w:tcPr>
          <w:p>
            <w:pPr>
              <w:spacing w:after="60"/>
            </w:pPr>
            <w:r>
              <w:rPr>
                <w:b/>
                <w:bCs/>
                <w:color w:val="0B2942"/>
                <w:sz w:val="20"/>
                <w:szCs w:val="20"/>
              </w:rPr>
              <w:t xml:space="preserve">Build Order Matters</w:t>
            </w:r>
          </w:p>
          <w:p>
            <w:pPr>
              <w:spacing w:after="0"/>
            </w:pPr>
            <w:r>
              <w:rPr>
                <w:i/>
                <w:iCs/>
                <w:color w:val="5B6B78"/>
                <w:sz w:val="20"/>
                <w:szCs w:val="20"/>
              </w:rPr>
              <w:t xml:space="preserve">The domains must be built in dependency order: people → profile → consent → traffic → contact. The contact domain calls into people for identity unification. Building contact first would require revisiting it to add the dependency later.</w:t>
            </w:r>
          </w:p>
        </w:tc>
      </w:tr>
    </w:tbl>
    <w:p>
      <w:pPr>
        <w:spacing w:after="300"/>
      </w:pPr>
      <w:r>
        <w:t xml:space="preserve"/>
      </w:r>
    </w:p>
    <w:p>
      <w:pPr>
        <w:pStyle w:val="Heading1"/>
        <w:spacing w:after="160" w:before="0"/>
      </w:pPr>
      <w:r>
        <w:t xml:space="preserve">9. Key Engineering Lessons</w:t>
      </w:r>
    </w:p>
    <w:p>
      <w:pPr>
        <w:spacing w:after="160"/>
        <w:jc w:val="both"/>
      </w:pPr>
      <w:r>
        <w:rPr>
          <w:color w:val="1A1A1A"/>
          <w:sz w:val="22"/>
          <w:szCs w:val="22"/>
        </w:rPr>
        <w:t xml:space="preserve">The following lessons emerged from the actual implementation. They are documented here because they represent genuine hard-won insights rather than textbook theory.</w:t>
      </w:r>
    </w:p>
    <w:p>
      <w:pPr>
        <w:spacing w:after="200"/>
      </w:pPr>
      <w:r>
        <w:t xml:space="preserve"/>
      </w:r>
    </w:p>
    <w:p>
      <w:pPr>
        <w:pStyle w:val="Heading2"/>
        <w:spacing w:after="120" w:before="0"/>
      </w:pPr>
      <w:r>
        <w:t xml:space="preserve">Test Against Reality, Not Mocks</w:t>
      </w:r>
    </w:p>
    <w:p>
      <w:pPr>
        <w:spacing w:after="160"/>
        <w:jc w:val="both"/>
      </w:pPr>
      <w:r>
        <w:rPr>
          <w:color w:val="1A1A1A"/>
          <w:sz w:val="22"/>
          <w:szCs w:val="22"/>
        </w:rPr>
        <w:t xml:space="preserve">MongoDB truncates Java Instant values to millisecond precision on write. This is expected BSON behavior, but it means that an integration test asserting isEqualTo() on a timestamp that has been written to and read back from MongoDB will flake intermittently — specifically when the original in-memory Instant had sub-millisecond precision. The correct assertion is isCloseTo(expected, within(1, ChronoUnit.SECONDS)). A mock database would never reveal this behavior.</w:t>
      </w:r>
    </w:p>
    <w:p>
      <w:pPr>
        <w:pStyle w:val="Heading2"/>
        <w:spacing w:after="120" w:before="0"/>
      </w:pPr>
      <w:r>
        <w:t xml:space="preserve">Document Hard-Won Debugging</w:t>
      </w:r>
    </w:p>
    <w:p>
      <w:pPr>
        <w:spacing w:after="160"/>
        <w:jc w:val="both"/>
      </w:pPr>
      <w:r>
        <w:rPr>
          <w:color w:val="1A1A1A"/>
          <w:sz w:val="22"/>
          <w:szCs w:val="22"/>
        </w:rPr>
        <w:t xml:space="preserve">When a debugging session resolves a genuinely confusing failure — the Testcontainers/Docker Engine API version incompatibility, the singleton container pattern requirement, URL-encoding in MongoDB connection strings — the resolution should be documented in the project's CLAUDE.md or equivalent knowledge base immediately. The value is not just personal memory; it is institutional knowledge that prevents any future session (or future contributor) from re-debugging the same issue from scratch.</w:t>
      </w:r>
    </w:p>
    <w:p>
      <w:pPr>
        <w:pStyle w:val="Heading2"/>
        <w:spacing w:after="120" w:before="0"/>
      </w:pPr>
      <w:r>
        <w:t xml:space="preserve">Security Constraints Can Drive Better Design</w:t>
      </w:r>
    </w:p>
    <w:p>
      <w:pPr>
        <w:spacing w:after="160"/>
        <w:jc w:val="both"/>
      </w:pPr>
      <w:r>
        <w:rPr>
          <w:color w:val="1A1A1A"/>
          <w:sz w:val="22"/>
          <w:szCs w:val="22"/>
        </w:rPr>
        <w:t xml:space="preserve">An organization-level GCP policy blocked the creation of service account JSON key files. The initial reaction to such a constraint might be frustration — the planned approach no longer works. The actual outcome was adoption of Workload Identity Federation, which is genuinely more secure than the JSON key approach that was blocked. Constraints imposed by security policy sometimes force better decisions than would have been made voluntarily.</w:t>
      </w:r>
    </w:p>
    <w:p>
      <w:pPr>
        <w:pStyle w:val="Heading2"/>
        <w:spacing w:after="120" w:before="0"/>
      </w:pPr>
      <w:r>
        <w:t xml:space="preserve">Environment Parity Eliminates Surprises</w:t>
      </w:r>
    </w:p>
    <w:p>
      <w:pPr>
        <w:spacing w:after="160"/>
        <w:jc w:val="both"/>
      </w:pPr>
      <w:r>
        <w:rPr>
          <w:color w:val="1A1A1A"/>
          <w:sz w:val="22"/>
          <w:szCs w:val="22"/>
        </w:rPr>
        <w:t xml:space="preserve">The same Docker image that runs in CI runs in production. There is no separate production configuration that might differ from what was tested. If CI passes, production will behave identically — because it runs the same artifact, not a rebuild from the same source.</w:t>
      </w:r>
    </w:p>
    <w:p>
      <w:pPr>
        <w:spacing w:after="300"/>
      </w:pPr>
      <w:r>
        <w:t xml:space="preserve"/>
      </w:r>
    </w:p>
    <w:p>
      <w:pPr>
        <w:pStyle w:val="Heading1"/>
        <w:spacing w:after="160" w:before="0"/>
      </w:pPr>
      <w:r>
        <w:t xml:space="preserve">10. Conclusion</w:t>
      </w:r>
    </w:p>
    <w:p>
      <w:pPr>
        <w:spacing w:after="160"/>
        <w:jc w:val="both"/>
      </w:pPr>
      <w:r>
        <w:rPr>
          <w:color w:val="1A1A1A"/>
          <w:sz w:val="22"/>
          <w:szCs w:val="22"/>
        </w:rPr>
        <w:t xml:space="preserve">The patterns documented in this whitepaper — automated testing with real infrastructure, containerized builds, CI/CD pipelines, cloud-native deployment, and security-first credential management — are not advanced practices reserved for large engineering organizations. They are achievable by small teams and individual developers, and they represent the current baseline expectation for production-grade software.</w:t>
      </w:r>
    </w:p>
    <w:p>
      <w:pPr>
        <w:spacing w:after="160"/>
        <w:jc w:val="both"/>
      </w:pPr>
      <w:r>
        <w:rPr>
          <w:color w:val="1A1A1A"/>
          <w:sz w:val="22"/>
          <w:szCs w:val="22"/>
        </w:rPr>
        <w:t xml:space="preserve">The investment is front-loaded: setting up Testcontainers, writing the Dockerfile, configuring GitHub Actions, and establishing Workload Identity Federation requires time. But that investment is paid back with interest on the first occasion where the pipeline catches a bug before production, rolls back a bad deployment in seconds, or allows a developer to push code on a Friday afternoon without anxiety.</w:t>
      </w:r>
    </w:p>
    <w:p>
      <w:pPr>
        <w:spacing w:after="160"/>
        <w:jc w:val="both"/>
      </w:pPr>
      <w:r>
        <w:rPr>
          <w:color w:val="1A1A1A"/>
          <w:sz w:val="22"/>
          <w:szCs w:val="22"/>
        </w:rPr>
        <w:t xml:space="preserve">The ultimate measure of a CI/CD pipeline is how rarely it is thought about: when deployment is automatic, reliable, and invisible, engineers can focus entirely on building the right product.</w:t>
      </w:r>
    </w:p>
    <w:p>
      <w:pPr>
        <w:spacing w:after="200"/>
      </w:pPr>
      <w:r>
        <w:t xml:space="preserve"/>
      </w:r>
    </w:p>
    <w:p>
      <w:pPr>
        <w:pBdr>
          <w:bottom w:val="single" w:color="B8935A" w:sz="12"/>
        </w:pBdr>
        <w:spacing w:after="240"/>
      </w:pPr>
      <w:r>
        <w:rPr>
          <w:sz w:val="22"/>
          <w:szCs w:val="22"/>
        </w:rPr>
        <w:t xml:space="preserve"/>
      </w:r>
    </w:p>
    <w:p>
      <w:pPr>
        <w:spacing w:after="0"/>
        <w:jc w:val="center"/>
      </w:pPr>
      <w:r>
        <w:rPr>
          <w:i/>
          <w:iCs/>
          <w:color w:val="9FB0BB"/>
          <w:sz w:val="18"/>
          <w:szCs w:val="18"/>
        </w:rPr>
        <w:t xml:space="preserve">Modern Backend Engineering Series · Educational Whitepaper · Generic Best Practices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pPr>
    <w:rPr>
      <w:rFonts w:ascii="Calibri" w:cs="Calibri" w:eastAsia="Calibri" w:hAnsi="Calibri"/>
      <w:b/>
      <w:bCs/>
      <w:color w:val="0B2942"/>
      <w:sz w:val="32"/>
      <w:szCs w:val="32"/>
    </w:rPr>
  </w:style>
  <w:style w:type="paragraph" w:styleId="Heading2">
    <w:name w:val="Heading 2"/>
    <w:basedOn w:val="Normal"/>
    <w:next w:val="Normal"/>
    <w:qFormat/>
    <w:pPr>
      <w:spacing w:after="120" w:before="360"/>
    </w:pPr>
    <w:rPr>
      <w:rFonts w:ascii="Calibri" w:cs="Calibri" w:eastAsia="Calibri" w:hAnsi="Calibri"/>
      <w:b/>
      <w:bCs/>
      <w:color w:val="15405A"/>
      <w:sz w:val="26"/>
      <w:szCs w:val="26"/>
    </w:rPr>
  </w:style>
  <w:style w:type="paragraph" w:styleId="Heading3">
    <w:name w:val="Heading 3"/>
    <w:basedOn w:val="Normal"/>
    <w:next w:val="Normal"/>
    <w:qFormat/>
    <w:pPr>
      <w:spacing w:after="80" w:before="280"/>
    </w:pPr>
    <w:rPr>
      <w:rFonts w:ascii="Calibri" w:cs="Calibri" w:eastAsia="Calibri" w:hAnsi="Calibri"/>
      <w:b/>
      <w:bCs/>
      <w:color w:val="5B6B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2026-07-02T21:53:09.792Z</dcterms:created>
  <dcterms:modified xsi:type="dcterms:W3CDTF">2026-07-02T21:53:09.792Z</dcterms:modified>
</cp:coreProperties>
</file>

<file path=docProps/custom.xml><?xml version="1.0" encoding="utf-8"?>
<Properties xmlns="http://schemas.openxmlformats.org/officeDocument/2006/custom-properties" xmlns:vt="http://schemas.openxmlformats.org/officeDocument/2006/docPropsVTypes"/>
</file>