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Pimientos y chiles: qué datos necesito para identificar una referencia sin deducir dulzor o picor · Checklist worksheet</w:t>
      </w:r>
    </w:p>
    <w:p>
      <w:r>
        <w:t>Identificar una referencia concreta de pimiento o chile exige separar la identidad botánica de la denominación comercial. El nombre de un grupo amplio, como el que reúne Jamaican Bell, Habanero o Biquinho, sirve para localizar una ficha, pero no permite deducir si una selección es dulce o picante. Este documento propone un método de trabajo basado en campos verificables y ofrece una lista de control para usar antes de pedir un presupuesto o modificar un surtido.</w:t>
      </w:r>
    </w:p>
    <w:p>
      <w:pPr>
        <w:pStyle w:val="Heading1"/>
      </w:pPr>
      <w:r>
        <w:t>Por qué el nombre del grupo no basta</w:t>
      </w:r>
    </w:p>
    <w:p>
      <w:r>
        <w:t>Los nombres de categoría son amplios y agrupan especies y cultivares distintos. Que una referencia aparezca bajo un mismo epígrafe no la clasifica como dulce ni como picante, ni permite asignarle un valor Scoville. Tampoco el género Capsicum, por sí solo, concreta la selección. La categoría orienta la búsqueda, pero la identificación utilizable necesita datos propios de cada artículo.</w:t>
      </w:r>
    </w:p>
    <w:p>
      <w:pPr>
        <w:pStyle w:val="Heading1"/>
      </w:pPr>
      <w:r>
        <w:t>Los cinco campos de una identificación utilizable</w:t>
      </w:r>
    </w:p>
    <w:p>
      <w:r>
        <w:t>Antes de cualquier consulta, reúna cinco datos. Primero, la especie botánica exacta, manteniendo visible la diferencia entre Capsicum baccatum y Capsicum chinense. Segundo, el cultivar, copiado tal como figura en la ficha. Tercero, el color registrado para el artículo. Cuarto, el código de artículo exacto. Quinto, la unidad comercial: si la oferta se expresa por peso o por número de semillas, y qué formato se solicita. La especie identifica el grupo, pero no sustituye al cultivar ni al código; el nombre del cultivar tampoco reemplaza a los demás campos.</w:t>
      </w:r>
    </w:p>
    <w:p>
      <w:pPr>
        <w:pStyle w:val="Heading1"/>
      </w:pPr>
      <w:r>
        <w:t>Cómo tratar una ficha incompleta</w:t>
      </w:r>
    </w:p>
    <w:p>
      <w:r>
        <w:t>No todas las consultas parten de una identificación completa, y la ausencia de un dato debe quedar explícita. Si conoce la especie, localice su ficha y complete después el cultivar, el color y el código. Si solo dispone del nombre de una variedad, confirme primero la especie y localice el código, sin usar el grupo como sustituto. Si no sabe qué especie corresponde, empiece por las fichas de especies y mantenga separados baccatum y chinense. Un dato pendiente se resuelve antes de elegir la referencia, no se cubre con una suposición sobre el sabor.</w:t>
      </w:r>
    </w:p>
    <w:p>
      <w:pPr>
        <w:pStyle w:val="Heading1"/>
      </w:pPr>
      <w:r>
        <w:t>Plantilla para trasladar los datos a una consulta</w:t>
      </w:r>
    </w:p>
    <w:p>
      <w:r>
        <w:t>Una consulta al por mayor no necesita una etiqueta de sabor para identificar la referencia. Basta con ordenar las observaciones por campos y no rellenar lagunas con suposiciones. Puede usar este bloque: especie [Capsicum baccatum o Capsicum chinense]; cultivar [nombre exacto]; color [color de la ficha]; código de artículo [código]; unidad comercial [peso o número de semillas]; cantidad [cantidad]. Si incluye varias selecciones, repita el bloque para cada una, de modo que cada petición conserve su propia identidad y no mezcle nombres de grupo, variedades ni unidades.</w:t>
      </w:r>
    </w:p>
    <w:p>
      <w:pPr>
        <w:pStyle w:val="Heading1"/>
      </w:pPr>
      <w:r>
        <w:t>La unidad forma parte de la identificación comercial</w:t>
      </w:r>
    </w:p>
    <w:p>
      <w:r>
        <w:t>Un precio indicado por una cantidad de semillas conserva esa unidad y no equivale directamente a un precio por kilogramo. Los precios por peso y por número de semillas tienen bases distintas, así que conviene enviar código, cantidad y unidad de cada selección y comparar solo referencias expresadas en la misma base. Las cantidades disponibles, los formatos y los precios finales se confirman en el presupuesto, por lo que no deben darse por supuestos.</w:t>
      </w:r>
    </w:p>
    <w:p>
      <w:pPr>
        <w:pStyle w:val="Heading1"/>
      </w:pPr>
      <w:r>
        <w:t>Lista de control antes de elegir</w:t>
      </w:r>
    </w:p>
    <w:p>
      <w:r>
        <w:t>Verifique que la especie exacta esté identificada, sin limitar el pedido a Capsicum ni al nombre del grupo. Compruebe que el cultivar, el color y el código de artículo coincidan con la ficha. Asegúrese de que la unidad y la cantidad sean inequívocas para cada selección. Si el dulzor o el picor es un requisito, expréselo como tal y no lo deduzca del grupo. La especie, el cultivar, el color, el código y la unidad permiten mantener la referencia trazable sin inventar un dato de sabor, picor o Scoville.</w:t>
      </w:r>
    </w:p>
    <w:p>
      <w:pPr>
        <w:pStyle w:val="Heading1"/>
      </w:pPr>
      <w:r>
        <w:t>Links</w:t>
      </w:r>
    </w:p>
    <w:p>
      <w:hyperlink r:id="rId9">
        <w:r>
          <w:rPr>
            <w:color w:val="087E75"/>
          </w:rPr>
          <w:t>Pimientos y chiles: qué datos necesito para identificar una referencia sin deducir dulzor o picor</w:t>
        </w:r>
      </w:hyperlink>
    </w:p>
    <w:p>
      <w:hyperlink r:id="rId10">
        <w:r>
          <w:rPr>
            <w:color w:val="087E75"/>
          </w:rPr>
          <w:t>Related document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kseedsinternational-es-985d8a.gitlab.io/pimientos-y-chiles-que-datos-necesito-para-identificar-una-referencia-sin-deducir-dulzor-o-picor/" TargetMode="External"/><Relationship Id="rId10" Type="http://schemas.openxmlformats.org/officeDocument/2006/relationships/hyperlink" Target="https://bulk-seeds-international.github.io/bulkseedsinternational-es/dateien/minimax-1698daf006bd71158e4accd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