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Demande de devis de semences : le modèle de saisie par destination · Checklist worksheet</w:t>
      </w:r>
    </w:p>
    <w:p>
      <w:r>
        <w:t>Une demande de devis de semences bien construite permet au fournisseur d'examiner la destination, la sélection et les besoins de revente sans échanges supplémentaires. Ce document propose un plan de saisie structuré, à utiliser comme base de travail avant l'envoi d'une demande. Il ne garantit ni la disponibilité d'une variété ni les conditions commerciales finales : la demande reste sans engagement et son contenu est confirmé dans le devis.</w:t>
      </w:r>
    </w:p>
    <w:p>
      <w:pPr>
        <w:pStyle w:val="Heading1"/>
      </w:pPr>
      <w:r>
        <w:t>Pourquoi séparer destination et articles</w:t>
      </w:r>
    </w:p>
    <w:p>
      <w:r>
        <w:t>Une demande lisible se compose de deux ensembles cohérents : d'abord la destination envisagée, ensuite les caractéristiques de chaque article et les besoins de revente. Cette séparation évite de disperser les détails dans le message et rend chaque partie vérifiable. Sans cette organisation, le fournisseur doit reconstituer les informations avant même de pouvoir examiner les options d'expédition.</w:t>
      </w:r>
    </w:p>
    <w:p>
      <w:pPr>
        <w:pStyle w:val="Heading1"/>
      </w:pPr>
      <w:r>
        <w:t>Renseigner la destination</w:t>
      </w:r>
    </w:p>
    <w:p>
      <w:r>
        <w:t>La destination se compose du pays et du code postal. Ces deux repères servent à examiner les options d'expédition ainsi que les documents nécessaires à l'expédition envisagée. Il est préférable de les placer en tête de demande, avant la liste des articles, sous la forme « Pays : … » et « Code postal : … ». Le pays et le code postal ne garantissent pas qu'une variété du catalogue pourra être fournie vers cette destination, mais ils constituent le point de départ indispensable à tout examen.</w:t>
      </w:r>
    </w:p>
    <w:p>
      <w:pPr>
        <w:pStyle w:val="Heading1"/>
      </w:pPr>
      <w:r>
        <w:t>Décrire chaque article avec cinq repères</w:t>
      </w:r>
    </w:p>
    <w:p>
      <w:r>
        <w:t>Pour chaque référence, constituez un bloc contenant cinq informations : le nom botanique, la variété, la référence catalogue, la quantité et l'unité. Cette combinaison permet de distinguer les articles et les variétés aux noms proches. Le même bloc doit être repris pour chaque référence sélectionnée : une indication générale sur la quantité ou l'unité ne suffit pas à identifier tous les articles. Un seul bloc incomplet affaiblit l'ensemble de la demande.</w:t>
      </w:r>
    </w:p>
    <w:p>
      <w:pPr>
        <w:pStyle w:val="Heading1"/>
      </w:pPr>
      <w:r>
        <w:t>Formuler les besoins de revente et les documents</w:t>
      </w:r>
    </w:p>
    <w:p>
      <w:r>
        <w:t>Une demande destinée à la revente précise aussi les conditionnements souhaités, la langue d'étiquetage et la date de livraison souhaitée. Ces éléments se présentent comme des besoins à examiner, pas comme des modalités déjà garanties. Complétez ensuite les informations de destination en signalant les documents dont votre entreprise a besoin pour le pays concerné. Ce champ permet de signaler un besoin sans anticiper des règles locales : les conditions d'importation applicables et les responsabilités relatives aux documents, au dédouanement, aux droits et aux taxes doivent être clarifiées avant l'acceptation d'une expédition. Les frais de port, les modalités de livraison et les coûts de documentation éventuels sont eux aussi confirmés dans le devis.</w:t>
      </w:r>
    </w:p>
    <w:p>
      <w:pPr>
        <w:pStyle w:val="Heading1"/>
      </w:pPr>
      <w:r>
        <w:t>Modèle de saisie et liste de contrôle</w:t>
      </w:r>
    </w:p>
    <w:p>
      <w:r>
        <w:t>Recopiez la structure suivante et complétez les champs entre crochets : Destination, avec le pays et le code postal ; Articles, en répétant le bloc nom botanique, variété, référence catalogue, quantité et unité pour chaque référence ; Besoins de revente, avec les conditionnements souhaités, la langue d'étiquetage et la date de livraison souhaitée ; Documentation, avec les documents dont l'entreprise a besoin. Avant l'envoi, vérifiez que le pays et le code postal correspondent à la destination envisagée, que chaque article comporte les cinq repères, que les besoins de conditionnement, de langue et de date sont visibles, que les documents nécessaires sont signalés et que les besoins exprimés ne sont pas présentés comme des conditions déjà confirmées. Une demande ne vaut pas commande : la sélection est examinée avant l'établissement d'un devis. Pour replacer cette trame dans une démarche plus large de sélection de semences, consultez le principe de base expliqué sur la page du géoréférencement pour une sélection plus intelligente de semences maraîchères B2B, puis complétez la trame avant l'envoi de votre demande.</w:t>
      </w:r>
    </w:p>
    <w:p>
      <w:pPr>
        <w:pStyle w:val="Heading1"/>
      </w:pPr>
      <w:r>
        <w:t>Links</w:t>
      </w:r>
    </w:p>
    <w:p>
      <w:hyperlink r:id="rId9">
        <w:r>
          <w:rPr>
            <w:color w:val="087E75"/>
          </w:rPr>
          <w:t>Demande de devis de semences : le modèle de saisie par destination</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fr-04df8c.gitlab.io/demande-devis-semences-modele-saisie-destination/" TargetMode="External"/><Relationship Id="rId10" Type="http://schemas.openxmlformats.org/officeDocument/2006/relationships/hyperlink" Target="https://bulk-seeds-international.github.io/bulkseedsinternational-fr/dateien/minimax-f38455ec4a26e884ff80b6e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