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40"/>
          <w:szCs w:val="40"/>
          <w:lang w:val="pl-PL"/>
        </w:rPr>
      </w:pPr>
      <w:r>
        <w:rPr>
          <w:rFonts w:hint="default"/>
          <w:b/>
          <w:bCs/>
          <w:sz w:val="60"/>
          <w:szCs w:val="60"/>
          <w:lang w:val="pl-PL"/>
        </w:rPr>
        <w:t>Homework solution- Marcin Bułka</w:t>
      </w:r>
    </w:p>
    <w:p>
      <w:pPr>
        <w:jc w:val="center"/>
        <w:rPr>
          <w:rFonts w:hint="default"/>
          <w:sz w:val="40"/>
          <w:szCs w:val="40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  <w:r>
        <w:rPr>
          <w:rFonts w:hint="default"/>
          <w:b/>
          <w:bCs/>
          <w:sz w:val="40"/>
          <w:szCs w:val="40"/>
          <w:u w:val="single"/>
          <w:lang w:val="pl-PL"/>
        </w:rPr>
        <w:t>Task 1:</w:t>
      </w: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drawing>
          <wp:inline distT="0" distB="0" distL="114300" distR="114300">
            <wp:extent cx="6400800" cy="2400300"/>
            <wp:effectExtent l="0" t="0" r="0" b="0"/>
            <wp:docPr id="12" name="Obraz 12" descr="task1_partn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task1_partner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drawing>
          <wp:inline distT="0" distB="0" distL="114300" distR="114300">
            <wp:extent cx="6400800" cy="2400300"/>
            <wp:effectExtent l="0" t="0" r="0" b="0"/>
            <wp:docPr id="11" name="Obraz 11" descr="task1_partn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task1_partner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  <w:r>
        <w:rPr>
          <w:rFonts w:hint="default"/>
          <w:b/>
          <w:bCs/>
          <w:sz w:val="40"/>
          <w:szCs w:val="40"/>
          <w:u w:val="single"/>
          <w:lang w:val="pl-PL"/>
        </w:rPr>
        <w:t>Task 2:</w:t>
      </w: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For Partner A we see that there is much smaller percentage of customers who select category, a possible reason for that might be that for Partner A’s websites there are more products for which Fit Predictor doesn’t have a category field to select.</w:t>
      </w:r>
    </w:p>
    <w:p>
      <w:pPr>
        <w:jc w:val="left"/>
        <w:rPr>
          <w:rFonts w:hint="default"/>
          <w:sz w:val="28"/>
          <w:szCs w:val="28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  <w:r>
        <w:rPr>
          <w:rFonts w:hint="default"/>
          <w:b/>
          <w:bCs/>
          <w:sz w:val="40"/>
          <w:szCs w:val="40"/>
          <w:u w:val="single"/>
          <w:lang w:val="pl-PL"/>
        </w:rPr>
        <w:t>Task 3:</w:t>
      </w: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u w:val="none"/>
          <w:lang w:val="pl-PL"/>
        </w:rPr>
      </w:pPr>
      <w:r>
        <w:rPr>
          <w:rFonts w:hint="default"/>
          <w:b w:val="0"/>
          <w:bCs w:val="0"/>
          <w:sz w:val="28"/>
          <w:szCs w:val="28"/>
          <w:u w:val="none"/>
          <w:lang w:val="pl-PL"/>
        </w:rPr>
        <w:drawing>
          <wp:inline distT="0" distB="0" distL="114300" distR="114300">
            <wp:extent cx="6426200" cy="2409825"/>
            <wp:effectExtent l="0" t="0" r="12700" b="9525"/>
            <wp:docPr id="13" name="Obraz 13" descr="tas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task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b w:val="0"/>
          <w:bCs w:val="0"/>
          <w:sz w:val="28"/>
          <w:szCs w:val="28"/>
          <w:u w:val="none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u w:val="none"/>
          <w:lang w:val="pl-PL"/>
        </w:rPr>
      </w:pP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  <w:r>
        <w:rPr>
          <w:rFonts w:hint="default"/>
          <w:b/>
          <w:bCs/>
          <w:sz w:val="40"/>
          <w:szCs w:val="40"/>
          <w:u w:val="single"/>
          <w:lang w:val="pl-PL"/>
        </w:rPr>
        <w:t>Task 4:</w:t>
      </w:r>
    </w:p>
    <w:p>
      <w:pPr>
        <w:jc w:val="left"/>
        <w:rPr>
          <w:rFonts w:hint="default"/>
          <w:b/>
          <w:bCs/>
          <w:sz w:val="40"/>
          <w:szCs w:val="40"/>
          <w:u w:val="single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u w:val="none"/>
          <w:lang w:val="pl-PL"/>
        </w:rPr>
      </w:pPr>
      <w:r>
        <w:rPr>
          <w:rFonts w:hint="default"/>
          <w:b w:val="0"/>
          <w:bCs w:val="0"/>
          <w:sz w:val="28"/>
          <w:szCs w:val="28"/>
          <w:u w:val="none"/>
          <w:lang w:val="pl-PL"/>
        </w:rPr>
        <w:t xml:space="preserve">The conversion rate difference (CR_test - CR_control) is equal to 0.0009. This values is not statistically significant because 95% confidence interval for that difference is [-0.0003 : 0.002]. Our value 0.0009 is only an estimation of a real conversion rate difference so there is a chance that the real conversion rate difference equals to 0 or is 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u w:val="none"/>
          <w:lang w:val="pl-PL"/>
        </w:rPr>
        <w:t>even negative.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F1947"/>
    <w:rsid w:val="0D0B0445"/>
    <w:rsid w:val="20F80189"/>
    <w:rsid w:val="72E773B2"/>
    <w:rsid w:val="75435335"/>
    <w:rsid w:val="7CBF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2022-05-01T13:38:00Z</dcterms:created>
  <dc:creator>mbulk</dc:creator>
  <cp:lastModifiedBy>mbulk</cp:lastModifiedBy>
  <dcterms:modified xsi:type="dcterms:W3CDTF">2022-05-01T16:01:03Z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1045-11.2.0.11074</vt:lpwstr>
  </property>
  <property fmtid="{D5CDD505-2E9C-101B-9397-08002B2CF9AE}" pid="3" name="ICV">
    <vt:lpwstr>3BEBC63FE866459099984DFC225DD38A</vt:lpwstr>
  </property>
</Properties>
</file>