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MELBOURNE DENTAL SCHOOL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UNIVERSITY OF MELBOURNE</w:t>
      </w:r>
    </w:p>
    <w:p>
      <w:pPr>
        <w:pBdr>
          <w:top w:val="single" w:color="2E75B6" w:sz="12"/>
          <w:bottom w:val="single" w:color="2E75B6" w:sz="12"/>
        </w:pBdr>
        <w:shd w:fill="1F3864" w:val="clear"/>
        <w:spacing w:after="12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0" w:before="8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DENT90151 — Advanced Dental Practice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8"/>
          <w:szCs w:val="28"/>
        </w:rPr>
        <w:t xml:space="preserve">DDS3 Mid-Year Written Examination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Student Analysis Report</w:t>
      </w:r>
    </w:p>
    <w:tbl>
      <w:tblPr>
        <w:tblW w:type="dxa" w:w="7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Cohort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DDS3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 Format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 Multiple Choice Questions (MCQ) — Digital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Components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Orthodontics (21Q)  |  Implants (20Q)  |  Oral Medicine (30Q)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Students Examined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 Date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June 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Report Prepared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June 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Results Release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Friday 13 June 2026 (proposed)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Analytics, Melbourne Dental School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CONFIDENTIAL — FOR INTERNAL USE ONLY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DENT90151 Mid-Year Written Examination was completed by 91 DDS3 students on 9 June 2026. The 71-item MCQ digital exam comprised three components: Orthodontics (21 questions), Implants (20 questions), and Oral Medicine (30 questions).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Overall performance was strong. The cohort mean was 60.8/71 (85.6%) and the median was 61/71 (85.9%). All 91 students exceeded the 50% pass threshold. The score range was 54–67 (76.1%–94.4%), indicating a high-performing but reasonably spread cohort.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items are flagged for urgent review prior to result release: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Orthodontics Q15 — Only 1/91 students (1%) answered correctly. This is almost certainly a keying error.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Implants Q16 — 0/91 students (0%) answered correctly. This requires correction or re-keying before release.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Results are proposed for release on Friday 13 June 2026, subject to review of the flagged items.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Overall Cohort Performance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300"/>
      </w:tblGrid>
      <w:tr>
        <w:tc>
          <w:tcPr>
            <w:tcW w:type="dxa" w:w="22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5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5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5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3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Exam (/71)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60.8  (85.6%)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61.0  (85.9%)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3.42</w:t>
            </w:r>
          </w:p>
        </w:tc>
        <w:tc>
          <w:tcPr>
            <w:tcW w:type="dxa" w:w="1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  (76.1%)</w:t>
            </w:r>
          </w:p>
        </w:tc>
        <w:tc>
          <w:tcPr>
            <w:tcW w:type="dxa" w:w="1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  (94.4%)</w:t>
            </w:r>
          </w:p>
        </w:tc>
      </w:tr>
      <w:tr>
        <w:tc>
          <w:tcPr>
            <w:tcW w:type="dxa" w:w="22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Orthodontics (/21)</w:t>
            </w:r>
          </w:p>
        </w:tc>
        <w:tc>
          <w:tcPr>
            <w:tcW w:type="dxa" w:w="15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18.9  (90.0%)</w:t>
            </w:r>
          </w:p>
        </w:tc>
        <w:tc>
          <w:tcPr>
            <w:tcW w:type="dxa" w:w="15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19.0  (90.5%)</w:t>
            </w:r>
          </w:p>
        </w:tc>
        <w:tc>
          <w:tcPr>
            <w:tcW w:type="dxa" w:w="15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</w:t>
            </w:r>
          </w:p>
        </w:tc>
        <w:tc>
          <w:tcPr>
            <w:tcW w:type="dxa" w:w="15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 (81.0%)</w:t>
            </w:r>
          </w:p>
        </w:tc>
        <w:tc>
          <w:tcPr>
            <w:tcW w:type="dxa" w:w="13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 (95.2%)</w:t>
            </w:r>
          </w:p>
        </w:tc>
      </w:tr>
      <w:tr>
        <w:tc>
          <w:tcPr>
            <w:tcW w:type="dxa" w:w="22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Implants (/20)</w:t>
            </w:r>
          </w:p>
        </w:tc>
        <w:tc>
          <w:tcPr>
            <w:tcW w:type="dxa" w:w="15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15.4  (77.0%)</w:t>
            </w:r>
          </w:p>
        </w:tc>
        <w:tc>
          <w:tcPr>
            <w:tcW w:type="dxa" w:w="15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  (80.0%)</w:t>
            </w:r>
          </w:p>
        </w:tc>
        <w:tc>
          <w:tcPr>
            <w:tcW w:type="dxa" w:w="15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1.93</w:t>
            </w:r>
          </w:p>
        </w:tc>
        <w:tc>
          <w:tcPr>
            <w:tcW w:type="dxa" w:w="15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 (50.0%)</w:t>
            </w:r>
          </w:p>
        </w:tc>
        <w:tc>
          <w:tcPr>
            <w:tcW w:type="dxa" w:w="13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  (95.0%)</w:t>
            </w:r>
          </w:p>
        </w:tc>
      </w:tr>
      <w:tr>
        <w:tc>
          <w:tcPr>
            <w:tcW w:type="dxa" w:w="22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Oral Medicine (/30)</w:t>
            </w:r>
          </w:p>
        </w:tc>
        <w:tc>
          <w:tcPr>
            <w:tcW w:type="dxa" w:w="15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26.5  (88.4%)</w:t>
            </w:r>
          </w:p>
        </w:tc>
        <w:tc>
          <w:tcPr>
            <w:tcW w:type="dxa" w:w="15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27.0  (90.0%)</w:t>
            </w:r>
          </w:p>
        </w:tc>
        <w:tc>
          <w:tcPr>
            <w:tcW w:type="dxa" w:w="15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2.42</w:t>
            </w:r>
          </w:p>
        </w:tc>
        <w:tc>
          <w:tcPr>
            <w:tcW w:type="dxa" w:w="15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 (60.0%)</w:t>
            </w:r>
          </w:p>
        </w:tc>
        <w:tc>
          <w:tcPr>
            <w:tcW w:type="dxa" w:w="13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 (100%)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91 students passed (scored ≥50%). The vast majority of the cohort (89 of 91 students, 98%) scored in the 75–95% range, reflecting strong overall examination preparation across the three clinical domains.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Component Breakdown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Orthodontics — 21 Questions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Orthodontics component was the strongest performed section. The cohort mean of 18.9/21 (90.0%) with a very low standard deviation (SD = 0.98) indicates that most students scored within a narrow, high band. Seventeen of 21 questions had a p-value of 0.90 or above, meaning 90% or more of students answered correctly.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One item stands out as anomalous: Q15 (Class II Division 1 malocclusion — patient-centred considerations) had a p-value of 0.01, meaning only 1 of 91 students answered correctly. This is far below the expected range for a well-keyed item and is almost certainly a keying error. This item should be re-keyed or excluded before release.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Excluding Q15, the effective Orthodontics mean would be approximately 18.9/20 (94.5%), confirming the component as accessible for this cohort.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Implants — 20 Questions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Implants component showed the greatest spread, with a mean of 15.4/20 (77.0%) and SD of 1.93 — both notably higher variability than the other components. This suggests the content was appropriately challenging and discriminated well between students.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items require attention: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Q16 (Anterior implant — optimal aesthetics factor): p-value = 0.00. Not a single student answered this correctly. This is a critical keying error and must be resolved before releasing results.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FF8C00"/>
          <w:sz w:val="20"/>
          <w:szCs w:val="20"/>
        </w:rPr>
        <w:t xml:space="preserve">Q12 (Long-term outcome of dental implant therapy): p-value = 0.45. This borderline item had 41/91 correct — just below 50%. While not necessarily erroneous, it may reflect ambiguous distractor design and warrants review.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One student scored as low as 10/20 (50%) on Implants, which may warrant pastoral follow-up in the context of their overall result.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Oral Medicine — 30 Questions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Oral Medicine was the second highest performing component with a mean of 26.5/30 (88.4%). The case-based format (five clinical cases, six questions each) appears to have been well-received: no items had a p-value below 0.50. Sixteen of 30 questions had a p-value at or above 0.90.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range of 18–30 (60%–100%) suggests some meaningful spread at the lower end, which is worth monitoring for any students who may be experiencing difficulty integrating clinical reasoning with content knowledge.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Score Distribution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50"/>
        <w:gridCol w:w="950"/>
        <w:gridCol w:w="950"/>
        <w:gridCol w:w="950"/>
        <w:gridCol w:w="950"/>
        <w:gridCol w:w="950"/>
        <w:gridCol w:w="950"/>
        <w:gridCol w:w="750"/>
      </w:tblGrid>
      <w:tr>
        <w:tc>
          <w:tcPr>
            <w:tcW w:type="dxa" w:w="22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Band</w:t>
            </w:r>
          </w:p>
        </w:tc>
        <w:tc>
          <w:tcPr>
            <w:tcW w:type="dxa" w:w="95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65–70%</w:t>
            </w:r>
          </w:p>
        </w:tc>
        <w:tc>
          <w:tcPr>
            <w:tcW w:type="dxa" w:w="95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70–75%</w:t>
            </w:r>
          </w:p>
        </w:tc>
        <w:tc>
          <w:tcPr>
            <w:tcW w:type="dxa" w:w="95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75–80%</w:t>
            </w:r>
          </w:p>
        </w:tc>
        <w:tc>
          <w:tcPr>
            <w:tcW w:type="dxa" w:w="95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80–85%</w:t>
            </w:r>
          </w:p>
        </w:tc>
        <w:tc>
          <w:tcPr>
            <w:tcW w:type="dxa" w:w="95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85–90%</w:t>
            </w:r>
          </w:p>
        </w:tc>
        <w:tc>
          <w:tcPr>
            <w:tcW w:type="dxa" w:w="95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90–95%</w:t>
            </w:r>
          </w:p>
        </w:tc>
        <w:tc>
          <w:tcPr>
            <w:tcW w:type="dxa" w:w="95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95–100%</w:t>
            </w:r>
          </w:p>
        </w:tc>
        <w:tc>
          <w:tcPr>
            <w:tcW w:type="dxa" w:w="75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Exam (/71)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7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modal band was 85–90%, with 34 students (37%) in this range. A total of 80 students (88%) scored between 80% and 95%, confirming a strong and tightly clustered performance. Only 2 students scored below 75%, and none failed.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Flagged Items — Action Required Before Release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The following items should be reviewed and resolved before releasing results to students. Items with very low p-values (especially 0.00 and 0.01) in a high-performing cohort are almost never explainable by genuine student deficiency — they indicate a problem with the key or the item itself.</w:t>
      </w:r>
    </w:p>
    <w:p>
      <w:pPr>
        <w:spacing w:after="0" w:before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4500"/>
        <w:gridCol w:w="900"/>
        <w:gridCol w:w="2000"/>
      </w:tblGrid>
      <w:tr>
        <w:tc>
          <w:tcPr>
            <w:tcW w:type="dxa" w:w="140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450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90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200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1400"/>
            <w:tcBorders>
              <w:top w:val="single" w:color="FFE7E7" w:sz="4"/>
              <w:left w:val="single" w:color="FFE7E7" w:sz="4"/>
              <w:bottom w:val="single" w:color="FFE7E7" w:sz="4"/>
              <w:right w:val="single" w:color="FFE7E7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Orthodontics</w:t>
            </w:r>
          </w:p>
        </w:tc>
        <w:tc>
          <w:tcPr>
            <w:tcW w:type="dxa" w:w="700"/>
            <w:tcBorders>
              <w:top w:val="single" w:color="FFE7E7" w:sz="4"/>
              <w:left w:val="single" w:color="FFE7E7" w:sz="4"/>
              <w:bottom w:val="single" w:color="FFE7E7" w:sz="4"/>
              <w:right w:val="single" w:color="FFE7E7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Q15</w:t>
            </w:r>
          </w:p>
        </w:tc>
        <w:tc>
          <w:tcPr>
            <w:tcW w:type="dxa" w:w="4500"/>
            <w:tcBorders>
              <w:top w:val="single" w:color="FFE7E7" w:sz="4"/>
              <w:left w:val="single" w:color="FFE7E7" w:sz="4"/>
              <w:bottom w:val="single" w:color="FFE7E7" w:sz="4"/>
              <w:right w:val="single" w:color="FFE7E7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8-year-old Class II Div 1 malocclusion — what considerations to discuss with parent/child regarding bullying and appearance.</w:t>
            </w:r>
          </w:p>
        </w:tc>
        <w:tc>
          <w:tcPr>
            <w:tcW w:type="dxa" w:w="900"/>
            <w:tcBorders>
              <w:top w:val="single" w:color="FFE7E7" w:sz="4"/>
              <w:left w:val="single" w:color="FFE7E7" w:sz="4"/>
              <w:bottom w:val="single" w:color="FFE7E7" w:sz="4"/>
              <w:right w:val="single" w:color="FFE7E7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0.01</w:t>
            </w:r>
          </w:p>
        </w:tc>
        <w:tc>
          <w:tcPr>
            <w:tcW w:type="dxa" w:w="2000"/>
            <w:tcBorders>
              <w:top w:val="single" w:color="FFE7E7" w:sz="4"/>
              <w:left w:val="single" w:color="FFE7E7" w:sz="4"/>
              <w:bottom w:val="single" w:color="FFE7E7" w:sz="4"/>
              <w:right w:val="single" w:color="FFE7E7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Re-key or exclude before release.</w:t>
            </w:r>
          </w:p>
        </w:tc>
      </w:tr>
      <w:tr>
        <w:tc>
          <w:tcPr>
            <w:tcW w:type="dxa" w:w="1400"/>
            <w:tcBorders>
              <w:top w:val="single" w:color="FFE7E7" w:sz="4"/>
              <w:left w:val="single" w:color="FFE7E7" w:sz="4"/>
              <w:bottom w:val="single" w:color="FFE7E7" w:sz="4"/>
              <w:right w:val="single" w:color="FFE7E7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Implants</w:t>
            </w:r>
          </w:p>
        </w:tc>
        <w:tc>
          <w:tcPr>
            <w:tcW w:type="dxa" w:w="700"/>
            <w:tcBorders>
              <w:top w:val="single" w:color="FFE7E7" w:sz="4"/>
              <w:left w:val="single" w:color="FFE7E7" w:sz="4"/>
              <w:bottom w:val="single" w:color="FFE7E7" w:sz="4"/>
              <w:right w:val="single" w:color="FFE7E7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Q16</w:t>
            </w:r>
          </w:p>
        </w:tc>
        <w:tc>
          <w:tcPr>
            <w:tcW w:type="dxa" w:w="4500"/>
            <w:tcBorders>
              <w:top w:val="single" w:color="FFE7E7" w:sz="4"/>
              <w:left w:val="single" w:color="FFE7E7" w:sz="4"/>
              <w:bottom w:val="single" w:color="FFE7E7" w:sz="4"/>
              <w:right w:val="single" w:color="FFE7E7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Anterior implant planning — most critical factor for optimal aesthetics.</w:t>
            </w:r>
          </w:p>
        </w:tc>
        <w:tc>
          <w:tcPr>
            <w:tcW w:type="dxa" w:w="900"/>
            <w:tcBorders>
              <w:top w:val="single" w:color="FFE7E7" w:sz="4"/>
              <w:left w:val="single" w:color="FFE7E7" w:sz="4"/>
              <w:bottom w:val="single" w:color="FFE7E7" w:sz="4"/>
              <w:right w:val="single" w:color="FFE7E7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0.00</w:t>
            </w:r>
          </w:p>
        </w:tc>
        <w:tc>
          <w:tcPr>
            <w:tcW w:type="dxa" w:w="2000"/>
            <w:tcBorders>
              <w:top w:val="single" w:color="FFE7E7" w:sz="4"/>
              <w:left w:val="single" w:color="FFE7E7" w:sz="4"/>
              <w:bottom w:val="single" w:color="FFE7E7" w:sz="4"/>
              <w:right w:val="single" w:color="FFE7E7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URGENT: Must be corrected. Do not release without fix.</w:t>
            </w:r>
          </w:p>
        </w:tc>
      </w:tr>
      <w:tr>
        <w:tc>
          <w:tcPr>
            <w:tcW w:type="dxa" w:w="14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Implants</w:t>
            </w:r>
          </w:p>
        </w:tc>
        <w:tc>
          <w:tcPr>
            <w:tcW w:type="dxa" w:w="7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Q12</w:t>
            </w:r>
          </w:p>
        </w:tc>
        <w:tc>
          <w:tcPr>
            <w:tcW w:type="dxa" w:w="45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critical factor influencing long-term outcome of dental implant therapy.</w:t>
            </w:r>
          </w:p>
        </w:tc>
        <w:tc>
          <w:tcPr>
            <w:tcW w:type="dxa" w:w="9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0.45</w:t>
            </w:r>
          </w:p>
        </w:tc>
        <w:tc>
          <w:tcPr>
            <w:tcW w:type="dxa" w:w="20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distractor design. Consider whether to remap or note in release commentary.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Before Friday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Resolve Implants Q16 (p=0.00): Re-key or exclude. All 91 students should receive credit for this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Resolve Orthodontics Q15 (p=0.01): Confirm whether the answer key is correct. If erroneous, re-key or exclude and recalculate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Implants Q12 (p=0.45): Decide whether to remap or issue a note in the feedback to students.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Recalculate all student scores after any keying corrections and regenerate the Excel workbook accordingly.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Pedagogy &amp; Curriculum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Implants showed the greatest variability (SD=1.93) and the lowest average p-value (0.77). Consider revisiting teaching emphasis on anterior implant aesthetics planning and long-term outcome factors in DDS4 curriculum.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Oral Medicine performance was strong with no failed items. The case-based format appears effective for this cohort.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Consider individual follow-up for the 2 students scoring below 75% overall, particularly if Implants was the weaker component.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Appendix: Component p-value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Average item difficulty (p-value = proportion of students correct) by component:</w:t>
      </w:r>
    </w:p>
    <w:p>
      <w:pPr>
        <w:spacing w:after="0" w:before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700"/>
        <w:gridCol w:w="1900"/>
      </w:tblGrid>
      <w:tr>
        <w:tc>
          <w:tcPr>
            <w:tcW w:type="dxa" w:w="25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7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p-value</w:t>
            </w:r>
          </w:p>
        </w:tc>
        <w:tc>
          <w:tcPr>
            <w:tcW w:type="dxa" w:w="17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 p &lt; 0.50</w:t>
            </w:r>
          </w:p>
        </w:tc>
        <w:tc>
          <w:tcPr>
            <w:tcW w:type="dxa" w:w="17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 p ≥ 0.90</w:t>
            </w:r>
          </w:p>
        </w:tc>
        <w:tc>
          <w:tcPr>
            <w:tcW w:type="dxa" w:w="19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Orthodontics (21Q)</w:t>
            </w:r>
          </w:p>
        </w:tc>
        <w:tc>
          <w:tcPr>
            <w:tcW w:type="dxa" w:w="17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17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1 (Q15 — flagged)</w:t>
            </w:r>
          </w:p>
        </w:tc>
        <w:tc>
          <w:tcPr>
            <w:tcW w:type="dxa" w:w="17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of 21</w:t>
            </w:r>
          </w:p>
        </w:tc>
        <w:tc>
          <w:tcPr>
            <w:tcW w:type="dxa" w:w="19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Very accessible</w:t>
            </w:r>
          </w:p>
        </w:tc>
      </w:tr>
      <w:tr>
        <w:tc>
          <w:tcPr>
            <w:tcW w:type="dxa" w:w="25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Implants (20Q)</w:t>
            </w:r>
          </w:p>
        </w:tc>
        <w:tc>
          <w:tcPr>
            <w:tcW w:type="dxa" w:w="17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</w:t>
            </w:r>
          </w:p>
        </w:tc>
        <w:tc>
          <w:tcPr>
            <w:tcW w:type="dxa" w:w="17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2 (Q12, Q16 — flagged)</w:t>
            </w:r>
          </w:p>
        </w:tc>
        <w:tc>
          <w:tcPr>
            <w:tcW w:type="dxa" w:w="17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of 20</w:t>
            </w:r>
          </w:p>
        </w:tc>
        <w:tc>
          <w:tcPr>
            <w:tcW w:type="dxa" w:w="190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Moderately challenging</w:t>
            </w:r>
          </w:p>
        </w:tc>
      </w:tr>
      <w:tr>
        <w:tc>
          <w:tcPr>
            <w:tcW w:type="dxa" w:w="25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Oral Medicine (30Q)</w:t>
            </w:r>
          </w:p>
        </w:tc>
        <w:tc>
          <w:tcPr>
            <w:tcW w:type="dxa" w:w="17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0.88</w:t>
            </w:r>
          </w:p>
        </w:tc>
        <w:tc>
          <w:tcPr>
            <w:tcW w:type="dxa" w:w="17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of 30</w:t>
            </w:r>
          </w:p>
        </w:tc>
        <w:tc>
          <w:tcPr>
            <w:tcW w:type="dxa" w:w="1900"/>
            <w:tcBorders>
              <w:top w:val="single" w:color="E9D7F7" w:sz="4"/>
              <w:left w:val="single" w:color="E9D7F7" w:sz="4"/>
              <w:bottom w:val="single" w:color="E9D7F7" w:sz="4"/>
              <w:right w:val="single" w:color="E9D7F7" w:sz="4"/>
            </w:tcBorders>
            <w:shd w:fill="E9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Accessible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Note: p-values were calculated based on the current answer key. Scores for flagged items (Q15 Orthodontics, Q16 Implants) should be recalculated after keying corrections before finalising individual student results.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Melbourne Dental School, University of Melbourne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DENT90151 Advanced Dental Practice — DDS3 Mid-Year Exam 2026</w:t>
    </w:r>
    <w:r>
      <w:rPr>
        <w:rFonts w:ascii="Arial" w:cs="Arial" w:eastAsia="Arial" w:hAnsi="Arial"/>
        <w:color w:val="888888"/>
        <w:sz w:val="16"/>
        <w:szCs w:val="16"/>
      </w:rPr>
      <w:t xml:space="preserve">   |   Confidential — For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2026-06-10T04:57:24.065Z</dcterms:created>
  <dcterms:modified xsi:type="dcterms:W3CDTF">2026-06-10T04:57:24.065Z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