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560"/>
        <w:jc w:val="center"/>
      </w:pPr>
      <w:r>
        <w:rPr>
          <w:rFonts w:ascii="Times New Roman" w:hAnsi="Times New Roman" w:eastAsia="黑体"/>
          <w:b/>
          <w:sz w:val="48"/>
        </w:rPr>
        <w:t>九江学院</w:t>
      </w:r>
    </w:p>
    <w:p>
      <w:pPr>
        <w:spacing w:line="324" w:lineRule="auto" w:after="360"/>
        <w:jc w:val="center"/>
      </w:pPr>
      <w:r>
        <w:rPr>
          <w:rFonts w:ascii="Times New Roman" w:hAnsi="Times New Roman" w:eastAsia="方正小标宋简体"/>
          <w:b w:val="0"/>
          <w:sz w:val="56"/>
        </w:rPr>
        <w:t>2023—2025年临床执业医师资格考试</w:t>
        <w:br/>
        <w:t>综合分析报告</w:t>
      </w:r>
    </w:p>
    <w:p>
      <w:pPr>
        <w:spacing w:after="1800"/>
        <w:jc w:val="center"/>
      </w:pPr>
      <w:r>
        <w:rPr>
          <w:rFonts w:ascii="Times New Roman" w:hAnsi="Times New Roman" w:eastAsia="楷体_GB2312"/>
          <w:sz w:val="34"/>
        </w:rPr>
        <w:t>（全日制应届本科考生）</w:t>
      </w:r>
    </w:p>
    <w:p>
      <w:pPr>
        <w:spacing w:after="240"/>
        <w:jc w:val="center"/>
      </w:pPr>
      <w:r>
        <w:rPr>
          <w:rFonts w:ascii="Times New Roman" w:hAnsi="Times New Roman" w:eastAsia="仿宋_GB2312"/>
          <w:sz w:val="36"/>
        </w:rPr>
        <w:t>医学部</w:t>
      </w:r>
    </w:p>
    <w:p>
      <w:pPr>
        <w:jc w:val="center"/>
      </w:pPr>
      <w:r>
        <w:rPr>
          <w:rFonts w:ascii="Times New Roman" w:hAnsi="Times New Roman" w:eastAsia="仿宋_GB2312"/>
          <w:sz w:val="36"/>
        </w:rPr>
        <w:t>2026年6月</w:t>
      </w:r>
    </w:p>
    <w:p>
      <w:pPr>
        <w:sectPr>
          <w:pgSz w:w="11906" w:h="16838"/>
          <w:pgMar w:top="1474" w:right="1474" w:bottom="1361" w:left="1587" w:header="720" w:footer="720" w:gutter="0"/>
          <w:cols w:space="720"/>
          <w:docGrid w:linePitch="360"/>
        </w:sectPr>
      </w:pPr>
    </w:p>
    <w:p>
      <w:pPr>
        <w:spacing w:after="360"/>
        <w:jc w:val="center"/>
      </w:pPr>
      <w:r>
        <w:rPr>
          <w:rFonts w:ascii="Times New Roman" w:hAnsi="Times New Roman" w:eastAsia="黑体"/>
          <w:b/>
          <w:sz w:val="40"/>
        </w:rPr>
        <w:t>目  录</w:t>
      </w:r>
    </w:p>
    <w:p>
      <w:pPr>
        <w:spacing w:before="80" w:after="0"/>
        <w:jc w:val="left"/>
      </w:pPr>
      <w:r>
        <w:rPr>
          <w:rFonts w:ascii="Times New Roman" w:hAnsi="Times New Roman" w:eastAsia="宋体"/>
          <w:sz w:val="24"/>
        </w:rPr>
        <w:fldChar w:fldCharType="begin"/>
        <w:instrText xml:space="preserve">TOC \o "1-3" \h \z \u</w:instrText>
        <w:fldChar w:fldCharType="separate"/>
        <w:t>目录将在打开文档时自动更新</w:t>
        <w:fldChar w:fldCharType="end"/>
      </w:r>
    </w:p>
    <w:p>
      <w:pPr>
        <w:sectPr>
          <w:pgSz w:w="11906" w:h="16838"/>
          <w:pgMar w:top="1474" w:right="1474" w:bottom="1361" w:left="1587" w:header="720" w:footer="720" w:gutter="0"/>
          <w:cols w:space="720"/>
          <w:docGrid w:linePitch="360"/>
        </w:sectPr>
      </w:pPr>
    </w:p>
    <w:p>
      <w:pPr>
        <w:pStyle w:val="Heading1"/>
        <w:keepNext/>
        <w:spacing w:before="200" w:after="100" w:lineRule="exact" w:line="600"/>
        <w:jc w:val="left"/>
      </w:pPr>
      <w:r>
        <w:rPr>
          <w:rFonts w:ascii="Times New Roman" w:hAnsi="Times New Roman" w:eastAsia="黑体"/>
          <w:b/>
          <w:sz w:val="40"/>
        </w:rPr>
        <w:t>一、前言</w:t>
      </w:r>
    </w:p>
    <w:p>
      <w:pPr>
        <w:spacing w:lineRule="exact" w:line="560" w:before="0" w:after="0"/>
        <w:ind w:firstLine="640"/>
        <w:jc w:val="both"/>
      </w:pPr>
      <w:r>
        <w:rPr>
          <w:rFonts w:ascii="Times New Roman" w:hAnsi="Times New Roman" w:eastAsia="仿宋_GB2312"/>
          <w:b w:val="0"/>
          <w:sz w:val="32"/>
        </w:rPr>
        <w:t>医师资格考试是检验医学毕业生达到行业准入要求的重要外部评价指标，也是学校开展人才培养质量监测和持续改进的重要依据。本报告依据国家医学考试中心提供的2023—2025年《医师资格考试成绩分析报告（临床执业医师）》，结合《中国本科医学教育标准——临床医学专业（2022版）》相关要求，对九江学院近三年临床执业医师资格考试情况进行系统分析，明确优势与不足，提出下一阶段改进措施，为学校教学指导委员会和校长办公会研究医学教育教学工作提供参考。</w:t>
      </w:r>
    </w:p>
    <w:p>
      <w:pPr>
        <w:spacing w:lineRule="exact" w:line="560" w:before="0" w:after="0"/>
        <w:ind w:firstLine="640"/>
        <w:jc w:val="both"/>
      </w:pPr>
      <w:r>
        <w:rPr>
          <w:rFonts w:ascii="Times New Roman" w:hAnsi="Times New Roman" w:eastAsia="仿宋_GB2312"/>
          <w:b w:val="0"/>
          <w:sz w:val="32"/>
        </w:rPr>
        <w:t>九江学院医学教育历史可追溯至1901年创办的但福德护士学校，2000年开设临床医学专业本科教育，2015年首次通过教育部临床医学专业认证，临床医学专业现为江西省一流本科专业建设点。2025年6月，教育部临床医学专业认证工作委员会专家组到校开展现场考察指导，对学校医学教育基础、办学传统和组织体系给予肯定。学校应以新一轮专业认证和医学教育“十五五”规划编制为契机，进一步完善人才培养体系，持续提高毕业生岗位胜任力。</w:t>
      </w:r>
    </w:p>
    <w:p>
      <w:pPr>
        <w:spacing w:lineRule="exact" w:line="560" w:before="0" w:after="0"/>
        <w:ind w:firstLine="640"/>
        <w:jc w:val="both"/>
      </w:pPr>
      <w:r>
        <w:rPr>
          <w:rFonts w:ascii="Times New Roman" w:hAnsi="Times New Roman" w:eastAsia="仿宋_GB2312"/>
          <w:b w:val="0"/>
          <w:sz w:val="32"/>
        </w:rPr>
        <w:t>本报告以国家医学考试中心定义的全日制应届本科考生为主要分析对象，即毕业后一年参加医师资格考试的全日制本科毕业生。2023年、2024年和2025年报告所对应的毕业年份分别为2022年、2023年和2024年。全体考生及非应届考生数据作为毕业后跟踪服务和学校考试总体情况的补充资料。具体数据口径见附件。</w:t>
      </w:r>
    </w:p>
    <w:p>
      <w:pPr>
        <w:pStyle w:val="Heading1"/>
        <w:keepNext/>
        <w:spacing w:before="200" w:after="100" w:lineRule="exact" w:line="600"/>
        <w:jc w:val="left"/>
      </w:pPr>
      <w:r>
        <w:rPr>
          <w:rFonts w:ascii="Times New Roman" w:hAnsi="Times New Roman" w:eastAsia="黑体"/>
          <w:b/>
          <w:sz w:val="40"/>
        </w:rPr>
        <w:t>二、近三年考试总体情况</w:t>
      </w:r>
    </w:p>
    <w:p>
      <w:pPr>
        <w:pStyle w:val="Heading2"/>
        <w:keepNext/>
        <w:spacing w:before="120" w:after="40" w:lineRule="exact" w:line="560"/>
        <w:jc w:val="left"/>
      </w:pPr>
      <w:r>
        <w:rPr>
          <w:rFonts w:ascii="Times New Roman" w:hAnsi="Times New Roman" w:eastAsia="黑体"/>
          <w:b/>
          <w:sz w:val="32"/>
        </w:rPr>
        <w:t>2.1 实践技能考试</w:t>
      </w:r>
    </w:p>
    <w:p>
      <w:pPr>
        <w:spacing w:before="120" w:after="80"/>
        <w:jc w:val="center"/>
      </w:pPr>
      <w:r>
        <w:rPr>
          <w:rFonts w:ascii="Times New Roman" w:hAnsi="Times New Roman" w:eastAsia="宋体"/>
          <w:b/>
          <w:sz w:val="24"/>
        </w:rPr>
        <w:t>表1  2023—2025年实践技能考试情况（全日制应届本科考生）</w:t>
      </w:r>
    </w:p>
    <w:tbl>
      <w:tblPr>
        <w:tblStyle w:val="TableGrid"/>
        <w:tblW w:type="dxa" w:w="9072"/>
        <w:jc w:val="center"/>
        <w:tblLayout w:type="autofit"/>
        <w:tblLook w:firstColumn="1" w:firstRow="1" w:lastColumn="0" w:lastRow="0" w:noHBand="0" w:noVBand="1" w:val="04A0"/>
      </w:tblPr>
      <w:tblGrid>
        <w:gridCol w:w="1474"/>
        <w:gridCol w:w="1474"/>
        <w:gridCol w:w="1474"/>
        <w:gridCol w:w="1474"/>
        <w:gridCol w:w="1474"/>
        <w:gridCol w:w="1474"/>
      </w:tblGrid>
      <w:tr>
        <w:trPr>
          <w:tblHeader w:val="true"/>
          <w:cantSplit/>
        </w:trPr>
        <w:tc>
          <w:tcPr>
            <w:tcW w:type="dxa" w:w="1134"/>
            <w:vAlign w:val="center"/>
            <w:shd w:fill="D9E2F3"/>
            <w:tcMar>
              <w:top w:w="60" w:type="dxa"/>
              <w:start w:w="80" w:type="dxa"/>
              <w:bottom w:w="60" w:type="dxa"/>
              <w:end w:w="80" w:type="dxa"/>
            </w:tcMar>
          </w:tcPr>
          <w:p>
            <w:pPr>
              <w:spacing w:before="0" w:after="0" w:line="240" w:lineRule="auto"/>
              <w:jc w:val="center"/>
            </w:pPr>
            <w:r/>
            <w:r>
              <w:rPr>
                <w:rFonts w:ascii="Times New Roman" w:hAnsi="Times New Roman" w:eastAsia="宋体"/>
                <w:b/>
                <w:sz w:val="21"/>
              </w:rPr>
              <w:t>年份</w:t>
            </w:r>
          </w:p>
        </w:tc>
        <w:tc>
          <w:tcPr>
            <w:tcW w:type="dxa" w:w="1531"/>
            <w:vAlign w:val="center"/>
            <w:shd w:fill="D9E2F3"/>
            <w:tcMar>
              <w:top w:w="60" w:type="dxa"/>
              <w:start w:w="80" w:type="dxa"/>
              <w:bottom w:w="60" w:type="dxa"/>
              <w:end w:w="80" w:type="dxa"/>
            </w:tcMar>
          </w:tcPr>
          <w:p>
            <w:pPr>
              <w:spacing w:before="0" w:after="0" w:line="240" w:lineRule="auto"/>
              <w:jc w:val="center"/>
            </w:pPr>
            <w:r/>
            <w:r>
              <w:rPr>
                <w:rFonts w:ascii="Times New Roman" w:hAnsi="Times New Roman" w:eastAsia="宋体"/>
                <w:b/>
                <w:sz w:val="21"/>
              </w:rPr>
              <w:t>本校实考人数</w:t>
            </w:r>
          </w:p>
        </w:tc>
        <w:tc>
          <w:tcPr>
            <w:tcW w:type="dxa" w:w="1531"/>
            <w:vAlign w:val="center"/>
            <w:shd w:fill="D9E2F3"/>
            <w:tcMar>
              <w:top w:w="60" w:type="dxa"/>
              <w:start w:w="80" w:type="dxa"/>
              <w:bottom w:w="60" w:type="dxa"/>
              <w:end w:w="80" w:type="dxa"/>
            </w:tcMar>
          </w:tcPr>
          <w:p>
            <w:pPr>
              <w:spacing w:before="0" w:after="0" w:line="240" w:lineRule="auto"/>
              <w:jc w:val="center"/>
            </w:pPr>
            <w:r/>
            <w:r>
              <w:rPr>
                <w:rFonts w:ascii="Times New Roman" w:hAnsi="Times New Roman" w:eastAsia="宋体"/>
                <w:b/>
                <w:sz w:val="21"/>
              </w:rPr>
              <w:t>本校通过率</w:t>
            </w:r>
          </w:p>
        </w:tc>
        <w:tc>
          <w:tcPr>
            <w:tcW w:type="dxa" w:w="1531"/>
            <w:vAlign w:val="center"/>
            <w:shd w:fill="D9E2F3"/>
            <w:tcMar>
              <w:top w:w="60" w:type="dxa"/>
              <w:start w:w="80" w:type="dxa"/>
              <w:bottom w:w="60" w:type="dxa"/>
              <w:end w:w="80" w:type="dxa"/>
            </w:tcMar>
          </w:tcPr>
          <w:p>
            <w:pPr>
              <w:spacing w:before="0" w:after="0" w:line="240" w:lineRule="auto"/>
              <w:jc w:val="center"/>
            </w:pPr>
            <w:r/>
            <w:r>
              <w:rPr>
                <w:rFonts w:ascii="Times New Roman" w:hAnsi="Times New Roman" w:eastAsia="宋体"/>
                <w:b/>
                <w:sz w:val="21"/>
              </w:rPr>
              <w:t>全国通过率</w:t>
            </w:r>
          </w:p>
        </w:tc>
        <w:tc>
          <w:tcPr>
            <w:tcW w:type="dxa" w:w="1757"/>
            <w:vAlign w:val="center"/>
            <w:shd w:fill="D9E2F3"/>
            <w:tcMar>
              <w:top w:w="60" w:type="dxa"/>
              <w:start w:w="80" w:type="dxa"/>
              <w:bottom w:w="60" w:type="dxa"/>
              <w:end w:w="80" w:type="dxa"/>
            </w:tcMar>
          </w:tcPr>
          <w:p>
            <w:pPr>
              <w:spacing w:before="0" w:after="0" w:line="240" w:lineRule="auto"/>
              <w:jc w:val="center"/>
            </w:pPr>
            <w:r/>
            <w:r>
              <w:rPr>
                <w:rFonts w:ascii="Times New Roman" w:hAnsi="Times New Roman" w:eastAsia="宋体"/>
                <w:b/>
                <w:sz w:val="21"/>
              </w:rPr>
              <w:t>本校与全国差值</w:t>
            </w:r>
          </w:p>
        </w:tc>
        <w:tc>
          <w:tcPr>
            <w:tcW w:type="dxa" w:w="850"/>
            <w:vAlign w:val="center"/>
            <w:shd w:fill="D9E2F3"/>
            <w:tcMar>
              <w:top w:w="60" w:type="dxa"/>
              <w:start w:w="80" w:type="dxa"/>
              <w:bottom w:w="60" w:type="dxa"/>
              <w:end w:w="80" w:type="dxa"/>
            </w:tcMar>
          </w:tcPr>
          <w:p>
            <w:pPr>
              <w:spacing w:before="0" w:after="0" w:line="240" w:lineRule="auto"/>
              <w:jc w:val="center"/>
            </w:pPr>
            <w:r/>
            <w:r>
              <w:rPr>
                <w:rFonts w:ascii="Times New Roman" w:hAnsi="Times New Roman" w:eastAsia="宋体"/>
                <w:b/>
                <w:sz w:val="21"/>
              </w:rPr>
              <w:t>百分等级</w:t>
            </w:r>
          </w:p>
        </w:tc>
      </w:tr>
      <w:tr>
        <w:trPr>
          <w:cantSplit/>
        </w:trPr>
        <w:tc>
          <w:tcPr>
            <w:tcW w:type="dxa" w:w="1134"/>
            <w:vAlign w:val="center"/>
            <w:tcMar>
              <w:top w:w="60" w:type="dxa"/>
              <w:start w:w="80" w:type="dxa"/>
              <w:bottom w:w="60" w:type="dxa"/>
              <w:end w:w="80" w:type="dxa"/>
            </w:tcMar>
          </w:tcPr>
          <w:p>
            <w:pPr>
              <w:spacing w:before="0" w:after="0" w:line="240" w:lineRule="auto"/>
              <w:jc w:val="center"/>
            </w:pPr>
            <w:r/>
            <w:r>
              <w:rPr>
                <w:rFonts w:ascii="Times New Roman" w:hAnsi="Times New Roman" w:eastAsia="宋体"/>
                <w:b w:val="0"/>
                <w:sz w:val="21"/>
              </w:rPr>
              <w:t>2023年</w:t>
            </w:r>
          </w:p>
        </w:tc>
        <w:tc>
          <w:tcPr>
            <w:tcW w:type="dxa" w:w="1531"/>
            <w:vAlign w:val="center"/>
            <w:tcMar>
              <w:top w:w="60" w:type="dxa"/>
              <w:start w:w="80" w:type="dxa"/>
              <w:bottom w:w="60" w:type="dxa"/>
              <w:end w:w="80" w:type="dxa"/>
            </w:tcMar>
          </w:tcPr>
          <w:p>
            <w:pPr>
              <w:spacing w:before="0" w:after="0" w:line="240" w:lineRule="auto"/>
              <w:jc w:val="center"/>
            </w:pPr>
            <w:r/>
            <w:r>
              <w:rPr>
                <w:rFonts w:ascii="Times New Roman" w:hAnsi="Times New Roman" w:eastAsia="宋体"/>
                <w:b w:val="0"/>
                <w:sz w:val="21"/>
              </w:rPr>
              <w:t>162</w:t>
            </w:r>
          </w:p>
        </w:tc>
        <w:tc>
          <w:tcPr>
            <w:tcW w:type="dxa" w:w="1531"/>
            <w:vAlign w:val="center"/>
            <w:tcMar>
              <w:top w:w="60" w:type="dxa"/>
              <w:start w:w="80" w:type="dxa"/>
              <w:bottom w:w="60" w:type="dxa"/>
              <w:end w:w="80" w:type="dxa"/>
            </w:tcMar>
          </w:tcPr>
          <w:p>
            <w:pPr>
              <w:spacing w:before="0" w:after="0" w:line="240" w:lineRule="auto"/>
              <w:jc w:val="center"/>
            </w:pPr>
            <w:r/>
            <w:r>
              <w:rPr>
                <w:rFonts w:ascii="Times New Roman" w:hAnsi="Times New Roman" w:eastAsia="宋体"/>
                <w:b w:val="0"/>
                <w:sz w:val="21"/>
              </w:rPr>
              <w:t>91.36%</w:t>
            </w:r>
          </w:p>
        </w:tc>
        <w:tc>
          <w:tcPr>
            <w:tcW w:type="dxa" w:w="1531"/>
            <w:vAlign w:val="center"/>
            <w:tcMar>
              <w:top w:w="60" w:type="dxa"/>
              <w:start w:w="80" w:type="dxa"/>
              <w:bottom w:w="60" w:type="dxa"/>
              <w:end w:w="80" w:type="dxa"/>
            </w:tcMar>
          </w:tcPr>
          <w:p>
            <w:pPr>
              <w:spacing w:before="0" w:after="0" w:line="240" w:lineRule="auto"/>
              <w:jc w:val="center"/>
            </w:pPr>
            <w:r/>
            <w:r>
              <w:rPr>
                <w:rFonts w:ascii="Times New Roman" w:hAnsi="Times New Roman" w:eastAsia="宋体"/>
                <w:b w:val="0"/>
                <w:sz w:val="21"/>
              </w:rPr>
              <w:t>90.59%</w:t>
            </w:r>
          </w:p>
        </w:tc>
        <w:tc>
          <w:tcPr>
            <w:tcW w:type="dxa" w:w="1757"/>
            <w:vAlign w:val="center"/>
            <w:tcMar>
              <w:top w:w="60" w:type="dxa"/>
              <w:start w:w="80" w:type="dxa"/>
              <w:bottom w:w="60" w:type="dxa"/>
              <w:end w:w="80" w:type="dxa"/>
            </w:tcMar>
          </w:tcPr>
          <w:p>
            <w:pPr>
              <w:spacing w:before="0" w:after="0" w:line="240" w:lineRule="auto"/>
              <w:jc w:val="center"/>
            </w:pPr>
            <w:r/>
            <w:r>
              <w:rPr>
                <w:rFonts w:ascii="Times New Roman" w:hAnsi="Times New Roman" w:eastAsia="宋体"/>
                <w:b w:val="0"/>
                <w:sz w:val="21"/>
              </w:rPr>
              <w:t>+0.77个百分点</w:t>
            </w:r>
          </w:p>
        </w:tc>
        <w:tc>
          <w:tcPr>
            <w:tcW w:type="dxa" w:w="850"/>
            <w:vAlign w:val="center"/>
            <w:tcMar>
              <w:top w:w="60" w:type="dxa"/>
              <w:start w:w="80" w:type="dxa"/>
              <w:bottom w:w="60" w:type="dxa"/>
              <w:end w:w="80" w:type="dxa"/>
            </w:tcMar>
          </w:tcPr>
          <w:p>
            <w:pPr>
              <w:spacing w:before="0" w:after="0" w:line="240" w:lineRule="auto"/>
              <w:jc w:val="center"/>
            </w:pPr>
            <w:r/>
            <w:r>
              <w:rPr>
                <w:rFonts w:ascii="Times New Roman" w:hAnsi="Times New Roman" w:eastAsia="宋体"/>
                <w:b w:val="0"/>
                <w:sz w:val="21"/>
              </w:rPr>
              <w:t>—</w:t>
            </w:r>
          </w:p>
        </w:tc>
      </w:tr>
      <w:tr>
        <w:trPr>
          <w:cantSplit/>
        </w:trPr>
        <w:tc>
          <w:tcPr>
            <w:tcW w:type="dxa" w:w="1134"/>
            <w:vAlign w:val="center"/>
            <w:tcMar>
              <w:top w:w="60" w:type="dxa"/>
              <w:start w:w="80" w:type="dxa"/>
              <w:bottom w:w="60" w:type="dxa"/>
              <w:end w:w="80" w:type="dxa"/>
            </w:tcMar>
          </w:tcPr>
          <w:p>
            <w:pPr>
              <w:spacing w:before="0" w:after="0" w:line="240" w:lineRule="auto"/>
              <w:jc w:val="center"/>
            </w:pPr>
            <w:r/>
            <w:r>
              <w:rPr>
                <w:rFonts w:ascii="Times New Roman" w:hAnsi="Times New Roman" w:eastAsia="宋体"/>
                <w:b w:val="0"/>
                <w:sz w:val="21"/>
              </w:rPr>
              <w:t>2024年</w:t>
            </w:r>
          </w:p>
        </w:tc>
        <w:tc>
          <w:tcPr>
            <w:tcW w:type="dxa" w:w="1531"/>
            <w:vAlign w:val="center"/>
            <w:tcMar>
              <w:top w:w="60" w:type="dxa"/>
              <w:start w:w="80" w:type="dxa"/>
              <w:bottom w:w="60" w:type="dxa"/>
              <w:end w:w="80" w:type="dxa"/>
            </w:tcMar>
          </w:tcPr>
          <w:p>
            <w:pPr>
              <w:spacing w:before="0" w:after="0" w:line="240" w:lineRule="auto"/>
              <w:jc w:val="center"/>
            </w:pPr>
            <w:r/>
            <w:r>
              <w:rPr>
                <w:rFonts w:ascii="Times New Roman" w:hAnsi="Times New Roman" w:eastAsia="宋体"/>
                <w:b w:val="0"/>
                <w:sz w:val="21"/>
              </w:rPr>
              <w:t>255</w:t>
            </w:r>
          </w:p>
        </w:tc>
        <w:tc>
          <w:tcPr>
            <w:tcW w:type="dxa" w:w="1531"/>
            <w:vAlign w:val="center"/>
            <w:tcMar>
              <w:top w:w="60" w:type="dxa"/>
              <w:start w:w="80" w:type="dxa"/>
              <w:bottom w:w="60" w:type="dxa"/>
              <w:end w:w="80" w:type="dxa"/>
            </w:tcMar>
          </w:tcPr>
          <w:p>
            <w:pPr>
              <w:spacing w:before="0" w:after="0" w:line="240" w:lineRule="auto"/>
              <w:jc w:val="center"/>
            </w:pPr>
            <w:r/>
            <w:r>
              <w:rPr>
                <w:rFonts w:ascii="Times New Roman" w:hAnsi="Times New Roman" w:eastAsia="宋体"/>
                <w:b w:val="0"/>
                <w:sz w:val="21"/>
              </w:rPr>
              <w:t>90.59%</w:t>
            </w:r>
          </w:p>
        </w:tc>
        <w:tc>
          <w:tcPr>
            <w:tcW w:type="dxa" w:w="1531"/>
            <w:vAlign w:val="center"/>
            <w:tcMar>
              <w:top w:w="60" w:type="dxa"/>
              <w:start w:w="80" w:type="dxa"/>
              <w:bottom w:w="60" w:type="dxa"/>
              <w:end w:w="80" w:type="dxa"/>
            </w:tcMar>
          </w:tcPr>
          <w:p>
            <w:pPr>
              <w:spacing w:before="0" w:after="0" w:line="240" w:lineRule="auto"/>
              <w:jc w:val="center"/>
            </w:pPr>
            <w:r/>
            <w:r>
              <w:rPr>
                <w:rFonts w:ascii="Times New Roman" w:hAnsi="Times New Roman" w:eastAsia="宋体"/>
                <w:b w:val="0"/>
                <w:sz w:val="21"/>
              </w:rPr>
              <w:t>91.27%</w:t>
            </w:r>
          </w:p>
        </w:tc>
        <w:tc>
          <w:tcPr>
            <w:tcW w:type="dxa" w:w="1757"/>
            <w:vAlign w:val="center"/>
            <w:tcMar>
              <w:top w:w="60" w:type="dxa"/>
              <w:start w:w="80" w:type="dxa"/>
              <w:bottom w:w="60" w:type="dxa"/>
              <w:end w:w="80" w:type="dxa"/>
            </w:tcMar>
          </w:tcPr>
          <w:p>
            <w:pPr>
              <w:spacing w:before="0" w:after="0" w:line="240" w:lineRule="auto"/>
              <w:jc w:val="center"/>
            </w:pPr>
            <w:r/>
            <w:r>
              <w:rPr>
                <w:rFonts w:ascii="Times New Roman" w:hAnsi="Times New Roman" w:eastAsia="宋体"/>
                <w:b w:val="0"/>
                <w:sz w:val="21"/>
              </w:rPr>
              <w:t>-0.68个百分点</w:t>
            </w:r>
          </w:p>
        </w:tc>
        <w:tc>
          <w:tcPr>
            <w:tcW w:type="dxa" w:w="850"/>
            <w:vAlign w:val="center"/>
            <w:tcMar>
              <w:top w:w="60" w:type="dxa"/>
              <w:start w:w="80" w:type="dxa"/>
              <w:bottom w:w="60" w:type="dxa"/>
              <w:end w:w="80" w:type="dxa"/>
            </w:tcMar>
          </w:tcPr>
          <w:p>
            <w:pPr>
              <w:spacing w:before="0" w:after="0" w:line="240" w:lineRule="auto"/>
              <w:jc w:val="center"/>
            </w:pPr>
            <w:r/>
            <w:r>
              <w:rPr>
                <w:rFonts w:ascii="Times New Roman" w:hAnsi="Times New Roman" w:eastAsia="宋体"/>
                <w:b w:val="0"/>
                <w:sz w:val="21"/>
              </w:rPr>
              <w:t>D</w:t>
            </w:r>
          </w:p>
        </w:tc>
      </w:tr>
      <w:tr>
        <w:trPr>
          <w:cantSplit/>
        </w:trPr>
        <w:tc>
          <w:tcPr>
            <w:tcW w:type="dxa" w:w="1134"/>
            <w:vAlign w:val="center"/>
            <w:tcMar>
              <w:top w:w="60" w:type="dxa"/>
              <w:start w:w="80" w:type="dxa"/>
              <w:bottom w:w="60" w:type="dxa"/>
              <w:end w:w="80" w:type="dxa"/>
            </w:tcMar>
          </w:tcPr>
          <w:p>
            <w:pPr>
              <w:spacing w:before="0" w:after="0" w:line="240" w:lineRule="auto"/>
              <w:jc w:val="center"/>
            </w:pPr>
            <w:r/>
            <w:r>
              <w:rPr>
                <w:rFonts w:ascii="Times New Roman" w:hAnsi="Times New Roman" w:eastAsia="宋体"/>
                <w:b w:val="0"/>
                <w:sz w:val="21"/>
              </w:rPr>
              <w:t>2025年</w:t>
            </w:r>
          </w:p>
        </w:tc>
        <w:tc>
          <w:tcPr>
            <w:tcW w:type="dxa" w:w="1531"/>
            <w:vAlign w:val="center"/>
            <w:tcMar>
              <w:top w:w="60" w:type="dxa"/>
              <w:start w:w="80" w:type="dxa"/>
              <w:bottom w:w="60" w:type="dxa"/>
              <w:end w:w="80" w:type="dxa"/>
            </w:tcMar>
          </w:tcPr>
          <w:p>
            <w:pPr>
              <w:spacing w:before="0" w:after="0" w:line="240" w:lineRule="auto"/>
              <w:jc w:val="center"/>
            </w:pPr>
            <w:r/>
            <w:r>
              <w:rPr>
                <w:rFonts w:ascii="Times New Roman" w:hAnsi="Times New Roman" w:eastAsia="宋体"/>
                <w:b w:val="0"/>
                <w:sz w:val="21"/>
              </w:rPr>
              <w:t>250</w:t>
            </w:r>
          </w:p>
        </w:tc>
        <w:tc>
          <w:tcPr>
            <w:tcW w:type="dxa" w:w="1531"/>
            <w:vAlign w:val="center"/>
            <w:tcMar>
              <w:top w:w="60" w:type="dxa"/>
              <w:start w:w="80" w:type="dxa"/>
              <w:bottom w:w="60" w:type="dxa"/>
              <w:end w:w="80" w:type="dxa"/>
            </w:tcMar>
          </w:tcPr>
          <w:p>
            <w:pPr>
              <w:spacing w:before="0" w:after="0" w:line="240" w:lineRule="auto"/>
              <w:jc w:val="center"/>
            </w:pPr>
            <w:r/>
            <w:r>
              <w:rPr>
                <w:rFonts w:ascii="Times New Roman" w:hAnsi="Times New Roman" w:eastAsia="宋体"/>
                <w:b w:val="0"/>
                <w:sz w:val="21"/>
              </w:rPr>
              <w:t>90.40%</w:t>
            </w:r>
          </w:p>
        </w:tc>
        <w:tc>
          <w:tcPr>
            <w:tcW w:type="dxa" w:w="1531"/>
            <w:vAlign w:val="center"/>
            <w:tcMar>
              <w:top w:w="60" w:type="dxa"/>
              <w:start w:w="80" w:type="dxa"/>
              <w:bottom w:w="60" w:type="dxa"/>
              <w:end w:w="80" w:type="dxa"/>
            </w:tcMar>
          </w:tcPr>
          <w:p>
            <w:pPr>
              <w:spacing w:before="0" w:after="0" w:line="240" w:lineRule="auto"/>
              <w:jc w:val="center"/>
            </w:pPr>
            <w:r/>
            <w:r>
              <w:rPr>
                <w:rFonts w:ascii="Times New Roman" w:hAnsi="Times New Roman" w:eastAsia="宋体"/>
                <w:b w:val="0"/>
                <w:sz w:val="21"/>
              </w:rPr>
              <w:t>91.73%</w:t>
            </w:r>
          </w:p>
        </w:tc>
        <w:tc>
          <w:tcPr>
            <w:tcW w:type="dxa" w:w="1757"/>
            <w:vAlign w:val="center"/>
            <w:tcMar>
              <w:top w:w="60" w:type="dxa"/>
              <w:start w:w="80" w:type="dxa"/>
              <w:bottom w:w="60" w:type="dxa"/>
              <w:end w:w="80" w:type="dxa"/>
            </w:tcMar>
          </w:tcPr>
          <w:p>
            <w:pPr>
              <w:spacing w:before="0" w:after="0" w:line="240" w:lineRule="auto"/>
              <w:jc w:val="center"/>
            </w:pPr>
            <w:r/>
            <w:r>
              <w:rPr>
                <w:rFonts w:ascii="Times New Roman" w:hAnsi="Times New Roman" w:eastAsia="宋体"/>
                <w:b w:val="0"/>
                <w:sz w:val="21"/>
              </w:rPr>
              <w:t>-1.33个百分点</w:t>
            </w:r>
          </w:p>
        </w:tc>
        <w:tc>
          <w:tcPr>
            <w:tcW w:type="dxa" w:w="850"/>
            <w:vAlign w:val="center"/>
            <w:tcMar>
              <w:top w:w="60" w:type="dxa"/>
              <w:start w:w="80" w:type="dxa"/>
              <w:bottom w:w="60" w:type="dxa"/>
              <w:end w:w="80" w:type="dxa"/>
            </w:tcMar>
          </w:tcPr>
          <w:p>
            <w:pPr>
              <w:spacing w:before="0" w:after="0" w:line="240" w:lineRule="auto"/>
              <w:jc w:val="center"/>
            </w:pPr>
            <w:r/>
            <w:r>
              <w:rPr>
                <w:rFonts w:ascii="Times New Roman" w:hAnsi="Times New Roman" w:eastAsia="宋体"/>
                <w:b w:val="0"/>
                <w:sz w:val="21"/>
              </w:rPr>
              <w:t>D</w:t>
            </w:r>
          </w:p>
        </w:tc>
      </w:tr>
    </w:tbl>
    <w:p>
      <w:pPr>
        <w:spacing w:after="0"/>
      </w:pPr>
    </w:p>
    <w:p>
      <w:pPr>
        <w:spacing w:before="0" w:after="80"/>
      </w:pPr>
      <w:r>
        <w:rPr>
          <w:rFonts w:ascii="Times New Roman" w:hAnsi="Times New Roman" w:eastAsia="宋体"/>
          <w:sz w:val="19"/>
        </w:rPr>
        <w:t>数据来源：国家医学考试中心2023—2025年《医师资格考试成绩分析报告（临床执业医师）》。</w:t>
      </w:r>
    </w:p>
    <w:p>
      <w:pPr>
        <w:spacing w:lineRule="exact" w:line="560" w:before="0" w:after="0"/>
        <w:ind w:firstLine="640"/>
        <w:jc w:val="both"/>
      </w:pPr>
      <w:r>
        <w:rPr>
          <w:rFonts w:ascii="Times New Roman" w:hAnsi="Times New Roman" w:eastAsia="仿宋_GB2312"/>
          <w:b w:val="0"/>
          <w:sz w:val="32"/>
        </w:rPr>
        <w:t>本校全日制应届本科考生实践技能考试通过率近三年稳定在90%以上。2023年高于全国0.77个百分点，2024年和2025年分别低于全国0.68和1.33个百分点，连续两年百分等级为D。实践技能平均分由2023年的72.73分上升至2024年的73.44分，2025年回落至71.90分。学校应进一步提高技能训练的规范性、覆盖度和持续性，重点加强基本操作、综合技能、临床思维和医患沟通的协同训练。</w:t>
      </w:r>
    </w:p>
    <w:p>
      <w:pPr>
        <w:pStyle w:val="Heading2"/>
        <w:keepNext/>
        <w:spacing w:before="120" w:after="40" w:lineRule="exact" w:line="560"/>
        <w:jc w:val="left"/>
      </w:pPr>
      <w:r>
        <w:rPr>
          <w:rFonts w:ascii="Times New Roman" w:hAnsi="Times New Roman" w:eastAsia="黑体"/>
          <w:b/>
          <w:sz w:val="32"/>
        </w:rPr>
        <w:t>2.2 医学综合考试</w:t>
      </w:r>
    </w:p>
    <w:p>
      <w:pPr>
        <w:spacing w:before="120" w:after="80"/>
        <w:jc w:val="center"/>
      </w:pPr>
      <w:r>
        <w:rPr>
          <w:rFonts w:ascii="Times New Roman" w:hAnsi="Times New Roman" w:eastAsia="宋体"/>
          <w:b/>
          <w:sz w:val="24"/>
        </w:rPr>
        <w:t>表2  2023—2025年医学综合考试通过情况（全日制应届本科考生）</w:t>
      </w:r>
    </w:p>
    <w:tbl>
      <w:tblPr>
        <w:tblStyle w:val="TableGrid"/>
        <w:tblW w:type="dxa" w:w="9072"/>
        <w:jc w:val="center"/>
        <w:tblLayout w:type="autofit"/>
        <w:tblLook w:firstColumn="1" w:firstRow="1" w:lastColumn="0" w:lastRow="0" w:noHBand="0" w:noVBand="1" w:val="04A0"/>
      </w:tblPr>
      <w:tblGrid>
        <w:gridCol w:w="1474"/>
        <w:gridCol w:w="1474"/>
        <w:gridCol w:w="1474"/>
        <w:gridCol w:w="1474"/>
        <w:gridCol w:w="1474"/>
        <w:gridCol w:w="1474"/>
      </w:tblGrid>
      <w:tr>
        <w:trPr>
          <w:tblHeader w:val="true"/>
          <w:cantSplit/>
        </w:trPr>
        <w:tc>
          <w:tcPr>
            <w:tcW w:type="dxa" w:w="1134"/>
            <w:vAlign w:val="center"/>
            <w:shd w:fill="D9E2F3"/>
            <w:tcMar>
              <w:top w:w="60" w:type="dxa"/>
              <w:start w:w="80" w:type="dxa"/>
              <w:bottom w:w="60" w:type="dxa"/>
              <w:end w:w="80" w:type="dxa"/>
            </w:tcMar>
          </w:tcPr>
          <w:p>
            <w:pPr>
              <w:spacing w:before="0" w:after="0" w:line="240" w:lineRule="auto"/>
              <w:jc w:val="center"/>
            </w:pPr>
            <w:r/>
            <w:r>
              <w:rPr>
                <w:rFonts w:ascii="Times New Roman" w:hAnsi="Times New Roman" w:eastAsia="宋体"/>
                <w:b/>
                <w:sz w:val="21"/>
              </w:rPr>
              <w:t>年份</w:t>
            </w:r>
          </w:p>
        </w:tc>
        <w:tc>
          <w:tcPr>
            <w:tcW w:type="dxa" w:w="1531"/>
            <w:vAlign w:val="center"/>
            <w:shd w:fill="D9E2F3"/>
            <w:tcMar>
              <w:top w:w="60" w:type="dxa"/>
              <w:start w:w="80" w:type="dxa"/>
              <w:bottom w:w="60" w:type="dxa"/>
              <w:end w:w="80" w:type="dxa"/>
            </w:tcMar>
          </w:tcPr>
          <w:p>
            <w:pPr>
              <w:spacing w:before="0" w:after="0" w:line="240" w:lineRule="auto"/>
              <w:jc w:val="center"/>
            </w:pPr>
            <w:r/>
            <w:r>
              <w:rPr>
                <w:rFonts w:ascii="Times New Roman" w:hAnsi="Times New Roman" w:eastAsia="宋体"/>
                <w:b/>
                <w:sz w:val="21"/>
              </w:rPr>
              <w:t>本校实考人数</w:t>
            </w:r>
          </w:p>
        </w:tc>
        <w:tc>
          <w:tcPr>
            <w:tcW w:type="dxa" w:w="1531"/>
            <w:vAlign w:val="center"/>
            <w:shd w:fill="D9E2F3"/>
            <w:tcMar>
              <w:top w:w="60" w:type="dxa"/>
              <w:start w:w="80" w:type="dxa"/>
              <w:bottom w:w="60" w:type="dxa"/>
              <w:end w:w="80" w:type="dxa"/>
            </w:tcMar>
          </w:tcPr>
          <w:p>
            <w:pPr>
              <w:spacing w:before="0" w:after="0" w:line="240" w:lineRule="auto"/>
              <w:jc w:val="center"/>
            </w:pPr>
            <w:r/>
            <w:r>
              <w:rPr>
                <w:rFonts w:ascii="Times New Roman" w:hAnsi="Times New Roman" w:eastAsia="宋体"/>
                <w:b/>
                <w:sz w:val="21"/>
              </w:rPr>
              <w:t>本校通过率</w:t>
            </w:r>
          </w:p>
        </w:tc>
        <w:tc>
          <w:tcPr>
            <w:tcW w:type="dxa" w:w="1531"/>
            <w:vAlign w:val="center"/>
            <w:shd w:fill="D9E2F3"/>
            <w:tcMar>
              <w:top w:w="60" w:type="dxa"/>
              <w:start w:w="80" w:type="dxa"/>
              <w:bottom w:w="60" w:type="dxa"/>
              <w:end w:w="80" w:type="dxa"/>
            </w:tcMar>
          </w:tcPr>
          <w:p>
            <w:pPr>
              <w:spacing w:before="0" w:after="0" w:line="240" w:lineRule="auto"/>
              <w:jc w:val="center"/>
            </w:pPr>
            <w:r/>
            <w:r>
              <w:rPr>
                <w:rFonts w:ascii="Times New Roman" w:hAnsi="Times New Roman" w:eastAsia="宋体"/>
                <w:b/>
                <w:sz w:val="21"/>
              </w:rPr>
              <w:t>全国通过率</w:t>
            </w:r>
          </w:p>
        </w:tc>
        <w:tc>
          <w:tcPr>
            <w:tcW w:type="dxa" w:w="1757"/>
            <w:vAlign w:val="center"/>
            <w:shd w:fill="D9E2F3"/>
            <w:tcMar>
              <w:top w:w="60" w:type="dxa"/>
              <w:start w:w="80" w:type="dxa"/>
              <w:bottom w:w="60" w:type="dxa"/>
              <w:end w:w="80" w:type="dxa"/>
            </w:tcMar>
          </w:tcPr>
          <w:p>
            <w:pPr>
              <w:spacing w:before="0" w:after="0" w:line="240" w:lineRule="auto"/>
              <w:jc w:val="center"/>
            </w:pPr>
            <w:r/>
            <w:r>
              <w:rPr>
                <w:rFonts w:ascii="Times New Roman" w:hAnsi="Times New Roman" w:eastAsia="宋体"/>
                <w:b/>
                <w:sz w:val="21"/>
              </w:rPr>
              <w:t>本校与全国差值</w:t>
            </w:r>
          </w:p>
        </w:tc>
        <w:tc>
          <w:tcPr>
            <w:tcW w:type="dxa" w:w="850"/>
            <w:vAlign w:val="center"/>
            <w:shd w:fill="D9E2F3"/>
            <w:tcMar>
              <w:top w:w="60" w:type="dxa"/>
              <w:start w:w="80" w:type="dxa"/>
              <w:bottom w:w="60" w:type="dxa"/>
              <w:end w:w="80" w:type="dxa"/>
            </w:tcMar>
          </w:tcPr>
          <w:p>
            <w:pPr>
              <w:spacing w:before="0" w:after="0" w:line="240" w:lineRule="auto"/>
              <w:jc w:val="center"/>
            </w:pPr>
            <w:r/>
            <w:r>
              <w:rPr>
                <w:rFonts w:ascii="Times New Roman" w:hAnsi="Times New Roman" w:eastAsia="宋体"/>
                <w:b/>
                <w:sz w:val="21"/>
              </w:rPr>
              <w:t>百分等级</w:t>
            </w:r>
          </w:p>
        </w:tc>
      </w:tr>
      <w:tr>
        <w:trPr>
          <w:cantSplit/>
        </w:trPr>
        <w:tc>
          <w:tcPr>
            <w:tcW w:type="dxa" w:w="1134"/>
            <w:vAlign w:val="center"/>
            <w:tcMar>
              <w:top w:w="60" w:type="dxa"/>
              <w:start w:w="80" w:type="dxa"/>
              <w:bottom w:w="60" w:type="dxa"/>
              <w:end w:w="80" w:type="dxa"/>
            </w:tcMar>
          </w:tcPr>
          <w:p>
            <w:pPr>
              <w:spacing w:before="0" w:after="0" w:line="240" w:lineRule="auto"/>
              <w:jc w:val="center"/>
            </w:pPr>
            <w:r/>
            <w:r>
              <w:rPr>
                <w:rFonts w:ascii="Times New Roman" w:hAnsi="Times New Roman" w:eastAsia="宋体"/>
                <w:b w:val="0"/>
                <w:sz w:val="21"/>
              </w:rPr>
              <w:t>2023年</w:t>
            </w:r>
          </w:p>
        </w:tc>
        <w:tc>
          <w:tcPr>
            <w:tcW w:type="dxa" w:w="1531"/>
            <w:vAlign w:val="center"/>
            <w:tcMar>
              <w:top w:w="60" w:type="dxa"/>
              <w:start w:w="80" w:type="dxa"/>
              <w:bottom w:w="60" w:type="dxa"/>
              <w:end w:w="80" w:type="dxa"/>
            </w:tcMar>
          </w:tcPr>
          <w:p>
            <w:pPr>
              <w:spacing w:before="0" w:after="0" w:line="240" w:lineRule="auto"/>
              <w:jc w:val="center"/>
            </w:pPr>
            <w:r/>
            <w:r>
              <w:rPr>
                <w:rFonts w:ascii="Times New Roman" w:hAnsi="Times New Roman" w:eastAsia="宋体"/>
                <w:b w:val="0"/>
                <w:sz w:val="21"/>
              </w:rPr>
              <w:t>146</w:t>
            </w:r>
          </w:p>
        </w:tc>
        <w:tc>
          <w:tcPr>
            <w:tcW w:type="dxa" w:w="1531"/>
            <w:vAlign w:val="center"/>
            <w:tcMar>
              <w:top w:w="60" w:type="dxa"/>
              <w:start w:w="80" w:type="dxa"/>
              <w:bottom w:w="60" w:type="dxa"/>
              <w:end w:w="80" w:type="dxa"/>
            </w:tcMar>
          </w:tcPr>
          <w:p>
            <w:pPr>
              <w:spacing w:before="0" w:after="0" w:line="240" w:lineRule="auto"/>
              <w:jc w:val="center"/>
            </w:pPr>
            <w:r/>
            <w:r>
              <w:rPr>
                <w:rFonts w:ascii="Times New Roman" w:hAnsi="Times New Roman" w:eastAsia="宋体"/>
                <w:b w:val="0"/>
                <w:sz w:val="21"/>
              </w:rPr>
              <w:t>70.55%</w:t>
            </w:r>
          </w:p>
        </w:tc>
        <w:tc>
          <w:tcPr>
            <w:tcW w:type="dxa" w:w="1531"/>
            <w:vAlign w:val="center"/>
            <w:tcMar>
              <w:top w:w="60" w:type="dxa"/>
              <w:start w:w="80" w:type="dxa"/>
              <w:bottom w:w="60" w:type="dxa"/>
              <w:end w:w="80" w:type="dxa"/>
            </w:tcMar>
          </w:tcPr>
          <w:p>
            <w:pPr>
              <w:spacing w:before="0" w:after="0" w:line="240" w:lineRule="auto"/>
              <w:jc w:val="center"/>
            </w:pPr>
            <w:r/>
            <w:r>
              <w:rPr>
                <w:rFonts w:ascii="Times New Roman" w:hAnsi="Times New Roman" w:eastAsia="宋体"/>
                <w:b w:val="0"/>
                <w:sz w:val="21"/>
              </w:rPr>
              <w:t>74.24%</w:t>
            </w:r>
          </w:p>
        </w:tc>
        <w:tc>
          <w:tcPr>
            <w:tcW w:type="dxa" w:w="1757"/>
            <w:vAlign w:val="center"/>
            <w:tcMar>
              <w:top w:w="60" w:type="dxa"/>
              <w:start w:w="80" w:type="dxa"/>
              <w:bottom w:w="60" w:type="dxa"/>
              <w:end w:w="80" w:type="dxa"/>
            </w:tcMar>
          </w:tcPr>
          <w:p>
            <w:pPr>
              <w:spacing w:before="0" w:after="0" w:line="240" w:lineRule="auto"/>
              <w:jc w:val="center"/>
            </w:pPr>
            <w:r/>
            <w:r>
              <w:rPr>
                <w:rFonts w:ascii="Times New Roman" w:hAnsi="Times New Roman" w:eastAsia="宋体"/>
                <w:b w:val="0"/>
                <w:sz w:val="21"/>
              </w:rPr>
              <w:t>-3.69个百分点</w:t>
            </w:r>
          </w:p>
        </w:tc>
        <w:tc>
          <w:tcPr>
            <w:tcW w:type="dxa" w:w="850"/>
            <w:vAlign w:val="center"/>
            <w:tcMar>
              <w:top w:w="60" w:type="dxa"/>
              <w:start w:w="80" w:type="dxa"/>
              <w:bottom w:w="60" w:type="dxa"/>
              <w:end w:w="80" w:type="dxa"/>
            </w:tcMar>
          </w:tcPr>
          <w:p>
            <w:pPr>
              <w:spacing w:before="0" w:after="0" w:line="240" w:lineRule="auto"/>
              <w:jc w:val="center"/>
            </w:pPr>
            <w:r/>
            <w:r>
              <w:rPr>
                <w:rFonts w:ascii="Times New Roman" w:hAnsi="Times New Roman" w:eastAsia="宋体"/>
                <w:b w:val="0"/>
                <w:sz w:val="21"/>
              </w:rPr>
              <w:t>—</w:t>
            </w:r>
          </w:p>
        </w:tc>
      </w:tr>
      <w:tr>
        <w:trPr>
          <w:cantSplit/>
        </w:trPr>
        <w:tc>
          <w:tcPr>
            <w:tcW w:type="dxa" w:w="1134"/>
            <w:vAlign w:val="center"/>
            <w:tcMar>
              <w:top w:w="60" w:type="dxa"/>
              <w:start w:w="80" w:type="dxa"/>
              <w:bottom w:w="60" w:type="dxa"/>
              <w:end w:w="80" w:type="dxa"/>
            </w:tcMar>
          </w:tcPr>
          <w:p>
            <w:pPr>
              <w:spacing w:before="0" w:after="0" w:line="240" w:lineRule="auto"/>
              <w:jc w:val="center"/>
            </w:pPr>
            <w:r/>
            <w:r>
              <w:rPr>
                <w:rFonts w:ascii="Times New Roman" w:hAnsi="Times New Roman" w:eastAsia="宋体"/>
                <w:b w:val="0"/>
                <w:sz w:val="21"/>
              </w:rPr>
              <w:t>2024年</w:t>
            </w:r>
          </w:p>
        </w:tc>
        <w:tc>
          <w:tcPr>
            <w:tcW w:type="dxa" w:w="1531"/>
            <w:vAlign w:val="center"/>
            <w:tcMar>
              <w:top w:w="60" w:type="dxa"/>
              <w:start w:w="80" w:type="dxa"/>
              <w:bottom w:w="60" w:type="dxa"/>
              <w:end w:w="80" w:type="dxa"/>
            </w:tcMar>
          </w:tcPr>
          <w:p>
            <w:pPr>
              <w:spacing w:before="0" w:after="0" w:line="240" w:lineRule="auto"/>
              <w:jc w:val="center"/>
            </w:pPr>
            <w:r/>
            <w:r>
              <w:rPr>
                <w:rFonts w:ascii="Times New Roman" w:hAnsi="Times New Roman" w:eastAsia="宋体"/>
                <w:b w:val="0"/>
                <w:sz w:val="21"/>
              </w:rPr>
              <w:t>229</w:t>
            </w:r>
          </w:p>
        </w:tc>
        <w:tc>
          <w:tcPr>
            <w:tcW w:type="dxa" w:w="1531"/>
            <w:vAlign w:val="center"/>
            <w:tcMar>
              <w:top w:w="60" w:type="dxa"/>
              <w:start w:w="80" w:type="dxa"/>
              <w:bottom w:w="60" w:type="dxa"/>
              <w:end w:w="80" w:type="dxa"/>
            </w:tcMar>
          </w:tcPr>
          <w:p>
            <w:pPr>
              <w:spacing w:before="0" w:after="0" w:line="240" w:lineRule="auto"/>
              <w:jc w:val="center"/>
            </w:pPr>
            <w:r/>
            <w:r>
              <w:rPr>
                <w:rFonts w:ascii="Times New Roman" w:hAnsi="Times New Roman" w:eastAsia="宋体"/>
                <w:b w:val="0"/>
                <w:sz w:val="21"/>
              </w:rPr>
              <w:t>82.53%</w:t>
            </w:r>
          </w:p>
        </w:tc>
        <w:tc>
          <w:tcPr>
            <w:tcW w:type="dxa" w:w="1531"/>
            <w:vAlign w:val="center"/>
            <w:tcMar>
              <w:top w:w="60" w:type="dxa"/>
              <w:start w:w="80" w:type="dxa"/>
              <w:bottom w:w="60" w:type="dxa"/>
              <w:end w:w="80" w:type="dxa"/>
            </w:tcMar>
          </w:tcPr>
          <w:p>
            <w:pPr>
              <w:spacing w:before="0" w:after="0" w:line="240" w:lineRule="auto"/>
              <w:jc w:val="center"/>
            </w:pPr>
            <w:r/>
            <w:r>
              <w:rPr>
                <w:rFonts w:ascii="Times New Roman" w:hAnsi="Times New Roman" w:eastAsia="宋体"/>
                <w:b w:val="0"/>
                <w:sz w:val="21"/>
              </w:rPr>
              <w:t>82.69%</w:t>
            </w:r>
          </w:p>
        </w:tc>
        <w:tc>
          <w:tcPr>
            <w:tcW w:type="dxa" w:w="1757"/>
            <w:vAlign w:val="center"/>
            <w:tcMar>
              <w:top w:w="60" w:type="dxa"/>
              <w:start w:w="80" w:type="dxa"/>
              <w:bottom w:w="60" w:type="dxa"/>
              <w:end w:w="80" w:type="dxa"/>
            </w:tcMar>
          </w:tcPr>
          <w:p>
            <w:pPr>
              <w:spacing w:before="0" w:after="0" w:line="240" w:lineRule="auto"/>
              <w:jc w:val="center"/>
            </w:pPr>
            <w:r/>
            <w:r>
              <w:rPr>
                <w:rFonts w:ascii="Times New Roman" w:hAnsi="Times New Roman" w:eastAsia="宋体"/>
                <w:b w:val="0"/>
                <w:sz w:val="21"/>
              </w:rPr>
              <w:t>-0.16个百分点</w:t>
            </w:r>
          </w:p>
        </w:tc>
        <w:tc>
          <w:tcPr>
            <w:tcW w:type="dxa" w:w="850"/>
            <w:vAlign w:val="center"/>
            <w:tcMar>
              <w:top w:w="60" w:type="dxa"/>
              <w:start w:w="80" w:type="dxa"/>
              <w:bottom w:w="60" w:type="dxa"/>
              <w:end w:w="80" w:type="dxa"/>
            </w:tcMar>
          </w:tcPr>
          <w:p>
            <w:pPr>
              <w:spacing w:before="0" w:after="0" w:line="240" w:lineRule="auto"/>
              <w:jc w:val="center"/>
            </w:pPr>
            <w:r/>
            <w:r>
              <w:rPr>
                <w:rFonts w:ascii="Times New Roman" w:hAnsi="Times New Roman" w:eastAsia="宋体"/>
                <w:b w:val="0"/>
                <w:sz w:val="21"/>
              </w:rPr>
              <w:t>C</w:t>
            </w:r>
          </w:p>
        </w:tc>
      </w:tr>
      <w:tr>
        <w:trPr>
          <w:cantSplit/>
        </w:trPr>
        <w:tc>
          <w:tcPr>
            <w:tcW w:type="dxa" w:w="1134"/>
            <w:vAlign w:val="center"/>
            <w:tcMar>
              <w:top w:w="60" w:type="dxa"/>
              <w:start w:w="80" w:type="dxa"/>
              <w:bottom w:w="60" w:type="dxa"/>
              <w:end w:w="80" w:type="dxa"/>
            </w:tcMar>
          </w:tcPr>
          <w:p>
            <w:pPr>
              <w:spacing w:before="0" w:after="0" w:line="240" w:lineRule="auto"/>
              <w:jc w:val="center"/>
            </w:pPr>
            <w:r/>
            <w:r>
              <w:rPr>
                <w:rFonts w:ascii="Times New Roman" w:hAnsi="Times New Roman" w:eastAsia="宋体"/>
                <w:b w:val="0"/>
                <w:sz w:val="21"/>
              </w:rPr>
              <w:t>2025年</w:t>
            </w:r>
          </w:p>
        </w:tc>
        <w:tc>
          <w:tcPr>
            <w:tcW w:type="dxa" w:w="1531"/>
            <w:vAlign w:val="center"/>
            <w:tcMar>
              <w:top w:w="60" w:type="dxa"/>
              <w:start w:w="80" w:type="dxa"/>
              <w:bottom w:w="60" w:type="dxa"/>
              <w:end w:w="80" w:type="dxa"/>
            </w:tcMar>
          </w:tcPr>
          <w:p>
            <w:pPr>
              <w:spacing w:before="0" w:after="0" w:line="240" w:lineRule="auto"/>
              <w:jc w:val="center"/>
            </w:pPr>
            <w:r/>
            <w:r>
              <w:rPr>
                <w:rFonts w:ascii="Times New Roman" w:hAnsi="Times New Roman" w:eastAsia="宋体"/>
                <w:b w:val="0"/>
                <w:sz w:val="21"/>
              </w:rPr>
              <w:t>224</w:t>
            </w:r>
          </w:p>
        </w:tc>
        <w:tc>
          <w:tcPr>
            <w:tcW w:type="dxa" w:w="1531"/>
            <w:vAlign w:val="center"/>
            <w:tcMar>
              <w:top w:w="60" w:type="dxa"/>
              <w:start w:w="80" w:type="dxa"/>
              <w:bottom w:w="60" w:type="dxa"/>
              <w:end w:w="80" w:type="dxa"/>
            </w:tcMar>
          </w:tcPr>
          <w:p>
            <w:pPr>
              <w:spacing w:before="0" w:after="0" w:line="240" w:lineRule="auto"/>
              <w:jc w:val="center"/>
            </w:pPr>
            <w:r/>
            <w:r>
              <w:rPr>
                <w:rFonts w:ascii="Times New Roman" w:hAnsi="Times New Roman" w:eastAsia="宋体"/>
                <w:b w:val="0"/>
                <w:sz w:val="21"/>
              </w:rPr>
              <w:t>80.80%</w:t>
            </w:r>
          </w:p>
        </w:tc>
        <w:tc>
          <w:tcPr>
            <w:tcW w:type="dxa" w:w="1531"/>
            <w:vAlign w:val="center"/>
            <w:tcMar>
              <w:top w:w="60" w:type="dxa"/>
              <w:start w:w="80" w:type="dxa"/>
              <w:bottom w:w="60" w:type="dxa"/>
              <w:end w:w="80" w:type="dxa"/>
            </w:tcMar>
          </w:tcPr>
          <w:p>
            <w:pPr>
              <w:spacing w:before="0" w:after="0" w:line="240" w:lineRule="auto"/>
              <w:jc w:val="center"/>
            </w:pPr>
            <w:r/>
            <w:r>
              <w:rPr>
                <w:rFonts w:ascii="Times New Roman" w:hAnsi="Times New Roman" w:eastAsia="宋体"/>
                <w:b w:val="0"/>
                <w:sz w:val="21"/>
              </w:rPr>
              <w:t>82.32%</w:t>
            </w:r>
          </w:p>
        </w:tc>
        <w:tc>
          <w:tcPr>
            <w:tcW w:type="dxa" w:w="1757"/>
            <w:vAlign w:val="center"/>
            <w:tcMar>
              <w:top w:w="60" w:type="dxa"/>
              <w:start w:w="80" w:type="dxa"/>
              <w:bottom w:w="60" w:type="dxa"/>
              <w:end w:w="80" w:type="dxa"/>
            </w:tcMar>
          </w:tcPr>
          <w:p>
            <w:pPr>
              <w:spacing w:before="0" w:after="0" w:line="240" w:lineRule="auto"/>
              <w:jc w:val="center"/>
            </w:pPr>
            <w:r/>
            <w:r>
              <w:rPr>
                <w:rFonts w:ascii="Times New Roman" w:hAnsi="Times New Roman" w:eastAsia="宋体"/>
                <w:b w:val="0"/>
                <w:sz w:val="21"/>
              </w:rPr>
              <w:t>-1.52个百分点</w:t>
            </w:r>
          </w:p>
        </w:tc>
        <w:tc>
          <w:tcPr>
            <w:tcW w:type="dxa" w:w="850"/>
            <w:vAlign w:val="center"/>
            <w:tcMar>
              <w:top w:w="60" w:type="dxa"/>
              <w:start w:w="80" w:type="dxa"/>
              <w:bottom w:w="60" w:type="dxa"/>
              <w:end w:w="80" w:type="dxa"/>
            </w:tcMar>
          </w:tcPr>
          <w:p>
            <w:pPr>
              <w:spacing w:before="0" w:after="0" w:line="240" w:lineRule="auto"/>
              <w:jc w:val="center"/>
            </w:pPr>
            <w:r/>
            <w:r>
              <w:rPr>
                <w:rFonts w:ascii="Times New Roman" w:hAnsi="Times New Roman" w:eastAsia="宋体"/>
                <w:b w:val="0"/>
                <w:sz w:val="21"/>
              </w:rPr>
              <w:t>D</w:t>
            </w:r>
          </w:p>
        </w:tc>
      </w:tr>
    </w:tbl>
    <w:p>
      <w:pPr>
        <w:spacing w:after="0"/>
      </w:pPr>
    </w:p>
    <w:p>
      <w:pPr>
        <w:spacing w:before="120" w:after="80"/>
        <w:jc w:val="center"/>
      </w:pPr>
      <w:r>
        <w:rPr>
          <w:rFonts w:ascii="Times New Roman" w:hAnsi="Times New Roman" w:eastAsia="宋体"/>
          <w:b/>
          <w:sz w:val="24"/>
        </w:rPr>
        <w:t>表3  2023—2025年医学综合考试平均分比较</w:t>
      </w:r>
    </w:p>
    <w:tbl>
      <w:tblPr>
        <w:tblStyle w:val="TableGrid"/>
        <w:tblW w:type="dxa" w:w="9072"/>
        <w:jc w:val="center"/>
        <w:tblLayout w:type="autofit"/>
        <w:tblLook w:firstColumn="1" w:firstRow="1" w:lastColumn="0" w:lastRow="0" w:noHBand="0" w:noVBand="1" w:val="04A0"/>
      </w:tblPr>
      <w:tblGrid>
        <w:gridCol w:w="2211"/>
        <w:gridCol w:w="2211"/>
        <w:gridCol w:w="2211"/>
        <w:gridCol w:w="2211"/>
      </w:tblGrid>
      <w:tr>
        <w:trPr>
          <w:tblHeader w:val="true"/>
          <w:cantSplit/>
        </w:trPr>
        <w:tc>
          <w:tcPr>
            <w:tcW w:type="dxa" w:w="1701"/>
            <w:vAlign w:val="center"/>
            <w:shd w:fill="D9E2F3"/>
            <w:tcMar>
              <w:top w:w="60" w:type="dxa"/>
              <w:start w:w="80" w:type="dxa"/>
              <w:bottom w:w="60" w:type="dxa"/>
              <w:end w:w="80" w:type="dxa"/>
            </w:tcMar>
          </w:tcPr>
          <w:p>
            <w:pPr>
              <w:spacing w:before="0" w:after="0" w:line="240" w:lineRule="auto"/>
              <w:jc w:val="center"/>
            </w:pPr>
            <w:r/>
            <w:r>
              <w:rPr>
                <w:rFonts w:ascii="Times New Roman" w:hAnsi="Times New Roman" w:eastAsia="宋体"/>
                <w:b/>
                <w:sz w:val="21"/>
              </w:rPr>
              <w:t>年份</w:t>
            </w:r>
          </w:p>
        </w:tc>
        <w:tc>
          <w:tcPr>
            <w:tcW w:type="dxa" w:w="2268"/>
            <w:vAlign w:val="center"/>
            <w:shd w:fill="D9E2F3"/>
            <w:tcMar>
              <w:top w:w="60" w:type="dxa"/>
              <w:start w:w="80" w:type="dxa"/>
              <w:bottom w:w="60" w:type="dxa"/>
              <w:end w:w="80" w:type="dxa"/>
            </w:tcMar>
          </w:tcPr>
          <w:p>
            <w:pPr>
              <w:spacing w:before="0" w:after="0" w:line="240" w:lineRule="auto"/>
              <w:jc w:val="center"/>
            </w:pPr>
            <w:r/>
            <w:r>
              <w:rPr>
                <w:rFonts w:ascii="Times New Roman" w:hAnsi="Times New Roman" w:eastAsia="宋体"/>
                <w:b/>
                <w:sz w:val="21"/>
              </w:rPr>
              <w:t>本校平均分</w:t>
            </w:r>
          </w:p>
        </w:tc>
        <w:tc>
          <w:tcPr>
            <w:tcW w:type="dxa" w:w="2268"/>
            <w:vAlign w:val="center"/>
            <w:shd w:fill="D9E2F3"/>
            <w:tcMar>
              <w:top w:w="60" w:type="dxa"/>
              <w:start w:w="80" w:type="dxa"/>
              <w:bottom w:w="60" w:type="dxa"/>
              <w:end w:w="80" w:type="dxa"/>
            </w:tcMar>
          </w:tcPr>
          <w:p>
            <w:pPr>
              <w:spacing w:before="0" w:after="0" w:line="240" w:lineRule="auto"/>
              <w:jc w:val="center"/>
            </w:pPr>
            <w:r/>
            <w:r>
              <w:rPr>
                <w:rFonts w:ascii="Times New Roman" w:hAnsi="Times New Roman" w:eastAsia="宋体"/>
                <w:b/>
                <w:sz w:val="21"/>
              </w:rPr>
              <w:t>全国平均分</w:t>
            </w:r>
          </w:p>
        </w:tc>
        <w:tc>
          <w:tcPr>
            <w:tcW w:type="dxa" w:w="2268"/>
            <w:vAlign w:val="center"/>
            <w:shd w:fill="D9E2F3"/>
            <w:tcMar>
              <w:top w:w="60" w:type="dxa"/>
              <w:start w:w="80" w:type="dxa"/>
              <w:bottom w:w="60" w:type="dxa"/>
              <w:end w:w="80" w:type="dxa"/>
            </w:tcMar>
          </w:tcPr>
          <w:p>
            <w:pPr>
              <w:spacing w:before="0" w:after="0" w:line="240" w:lineRule="auto"/>
              <w:jc w:val="center"/>
            </w:pPr>
            <w:r/>
            <w:r>
              <w:rPr>
                <w:rFonts w:ascii="Times New Roman" w:hAnsi="Times New Roman" w:eastAsia="宋体"/>
                <w:b/>
                <w:sz w:val="21"/>
              </w:rPr>
              <w:t>本校与全国差值</w:t>
            </w:r>
          </w:p>
        </w:tc>
      </w:tr>
      <w:tr>
        <w:trPr>
          <w:cantSplit/>
        </w:trPr>
        <w:tc>
          <w:tcPr>
            <w:tcW w:type="dxa" w:w="1701"/>
            <w:vAlign w:val="center"/>
            <w:tcMar>
              <w:top w:w="60" w:type="dxa"/>
              <w:start w:w="80" w:type="dxa"/>
              <w:bottom w:w="60" w:type="dxa"/>
              <w:end w:w="80" w:type="dxa"/>
            </w:tcMar>
          </w:tcPr>
          <w:p>
            <w:pPr>
              <w:spacing w:before="0" w:after="0" w:line="240" w:lineRule="auto"/>
              <w:jc w:val="center"/>
            </w:pPr>
            <w:r/>
            <w:r>
              <w:rPr>
                <w:rFonts w:ascii="Times New Roman" w:hAnsi="Times New Roman" w:eastAsia="宋体"/>
                <w:b w:val="0"/>
                <w:sz w:val="21"/>
              </w:rPr>
              <w:t>2023年</w:t>
            </w:r>
          </w:p>
        </w:tc>
        <w:tc>
          <w:tcPr>
            <w:tcW w:type="dxa" w:w="2268"/>
            <w:vAlign w:val="center"/>
            <w:tcMar>
              <w:top w:w="60" w:type="dxa"/>
              <w:start w:w="80" w:type="dxa"/>
              <w:bottom w:w="60" w:type="dxa"/>
              <w:end w:w="80" w:type="dxa"/>
            </w:tcMar>
          </w:tcPr>
          <w:p>
            <w:pPr>
              <w:spacing w:before="0" w:after="0" w:line="240" w:lineRule="auto"/>
              <w:jc w:val="center"/>
            </w:pPr>
            <w:r/>
            <w:r>
              <w:rPr>
                <w:rFonts w:ascii="Times New Roman" w:hAnsi="Times New Roman" w:eastAsia="宋体"/>
                <w:b w:val="0"/>
                <w:sz w:val="21"/>
              </w:rPr>
              <w:t>379.83</w:t>
            </w:r>
          </w:p>
        </w:tc>
        <w:tc>
          <w:tcPr>
            <w:tcW w:type="dxa" w:w="2268"/>
            <w:vAlign w:val="center"/>
            <w:tcMar>
              <w:top w:w="60" w:type="dxa"/>
              <w:start w:w="80" w:type="dxa"/>
              <w:bottom w:w="60" w:type="dxa"/>
              <w:end w:w="80" w:type="dxa"/>
            </w:tcMar>
          </w:tcPr>
          <w:p>
            <w:pPr>
              <w:spacing w:before="0" w:after="0" w:line="240" w:lineRule="auto"/>
              <w:jc w:val="center"/>
            </w:pPr>
            <w:r/>
            <w:r>
              <w:rPr>
                <w:rFonts w:ascii="Times New Roman" w:hAnsi="Times New Roman" w:eastAsia="宋体"/>
                <w:b w:val="0"/>
                <w:sz w:val="21"/>
              </w:rPr>
              <w:t>385.80</w:t>
            </w:r>
          </w:p>
        </w:tc>
        <w:tc>
          <w:tcPr>
            <w:tcW w:type="dxa" w:w="2268"/>
            <w:vAlign w:val="center"/>
            <w:tcMar>
              <w:top w:w="60" w:type="dxa"/>
              <w:start w:w="80" w:type="dxa"/>
              <w:bottom w:w="60" w:type="dxa"/>
              <w:end w:w="80" w:type="dxa"/>
            </w:tcMar>
          </w:tcPr>
          <w:p>
            <w:pPr>
              <w:spacing w:before="0" w:after="0" w:line="240" w:lineRule="auto"/>
              <w:jc w:val="center"/>
            </w:pPr>
            <w:r/>
            <w:r>
              <w:rPr>
                <w:rFonts w:ascii="Times New Roman" w:hAnsi="Times New Roman" w:eastAsia="宋体"/>
                <w:b w:val="0"/>
                <w:sz w:val="21"/>
              </w:rPr>
              <w:t>-5.97分</w:t>
            </w:r>
          </w:p>
        </w:tc>
      </w:tr>
      <w:tr>
        <w:trPr>
          <w:cantSplit/>
        </w:trPr>
        <w:tc>
          <w:tcPr>
            <w:tcW w:type="dxa" w:w="1701"/>
            <w:vAlign w:val="center"/>
            <w:tcMar>
              <w:top w:w="60" w:type="dxa"/>
              <w:start w:w="80" w:type="dxa"/>
              <w:bottom w:w="60" w:type="dxa"/>
              <w:end w:w="80" w:type="dxa"/>
            </w:tcMar>
          </w:tcPr>
          <w:p>
            <w:pPr>
              <w:spacing w:before="0" w:after="0" w:line="240" w:lineRule="auto"/>
              <w:jc w:val="center"/>
            </w:pPr>
            <w:r/>
            <w:r>
              <w:rPr>
                <w:rFonts w:ascii="Times New Roman" w:hAnsi="Times New Roman" w:eastAsia="宋体"/>
                <w:b w:val="0"/>
                <w:sz w:val="21"/>
              </w:rPr>
              <w:t>2024年</w:t>
            </w:r>
          </w:p>
        </w:tc>
        <w:tc>
          <w:tcPr>
            <w:tcW w:type="dxa" w:w="2268"/>
            <w:vAlign w:val="center"/>
            <w:tcMar>
              <w:top w:w="60" w:type="dxa"/>
              <w:start w:w="80" w:type="dxa"/>
              <w:bottom w:w="60" w:type="dxa"/>
              <w:end w:w="80" w:type="dxa"/>
            </w:tcMar>
          </w:tcPr>
          <w:p>
            <w:pPr>
              <w:spacing w:before="0" w:after="0" w:line="240" w:lineRule="auto"/>
              <w:jc w:val="center"/>
            </w:pPr>
            <w:r/>
            <w:r>
              <w:rPr>
                <w:rFonts w:ascii="Times New Roman" w:hAnsi="Times New Roman" w:eastAsia="宋体"/>
                <w:b w:val="0"/>
                <w:sz w:val="21"/>
              </w:rPr>
              <w:t>407.34</w:t>
            </w:r>
          </w:p>
        </w:tc>
        <w:tc>
          <w:tcPr>
            <w:tcW w:type="dxa" w:w="2268"/>
            <w:vAlign w:val="center"/>
            <w:tcMar>
              <w:top w:w="60" w:type="dxa"/>
              <w:start w:w="80" w:type="dxa"/>
              <w:bottom w:w="60" w:type="dxa"/>
              <w:end w:w="80" w:type="dxa"/>
            </w:tcMar>
          </w:tcPr>
          <w:p>
            <w:pPr>
              <w:spacing w:before="0" w:after="0" w:line="240" w:lineRule="auto"/>
              <w:jc w:val="center"/>
            </w:pPr>
            <w:r/>
            <w:r>
              <w:rPr>
                <w:rFonts w:ascii="Times New Roman" w:hAnsi="Times New Roman" w:eastAsia="宋体"/>
                <w:b w:val="0"/>
                <w:sz w:val="21"/>
              </w:rPr>
              <w:t>409.71</w:t>
            </w:r>
          </w:p>
        </w:tc>
        <w:tc>
          <w:tcPr>
            <w:tcW w:type="dxa" w:w="2268"/>
            <w:vAlign w:val="center"/>
            <w:tcMar>
              <w:top w:w="60" w:type="dxa"/>
              <w:start w:w="80" w:type="dxa"/>
              <w:bottom w:w="60" w:type="dxa"/>
              <w:end w:w="80" w:type="dxa"/>
            </w:tcMar>
          </w:tcPr>
          <w:p>
            <w:pPr>
              <w:spacing w:before="0" w:after="0" w:line="240" w:lineRule="auto"/>
              <w:jc w:val="center"/>
            </w:pPr>
            <w:r/>
            <w:r>
              <w:rPr>
                <w:rFonts w:ascii="Times New Roman" w:hAnsi="Times New Roman" w:eastAsia="宋体"/>
                <w:b w:val="0"/>
                <w:sz w:val="21"/>
              </w:rPr>
              <w:t>-2.37分</w:t>
            </w:r>
          </w:p>
        </w:tc>
      </w:tr>
      <w:tr>
        <w:trPr>
          <w:cantSplit/>
        </w:trPr>
        <w:tc>
          <w:tcPr>
            <w:tcW w:type="dxa" w:w="1701"/>
            <w:vAlign w:val="center"/>
            <w:tcMar>
              <w:top w:w="60" w:type="dxa"/>
              <w:start w:w="80" w:type="dxa"/>
              <w:bottom w:w="60" w:type="dxa"/>
              <w:end w:w="80" w:type="dxa"/>
            </w:tcMar>
          </w:tcPr>
          <w:p>
            <w:pPr>
              <w:spacing w:before="0" w:after="0" w:line="240" w:lineRule="auto"/>
              <w:jc w:val="center"/>
            </w:pPr>
            <w:r/>
            <w:r>
              <w:rPr>
                <w:rFonts w:ascii="Times New Roman" w:hAnsi="Times New Roman" w:eastAsia="宋体"/>
                <w:b w:val="0"/>
                <w:sz w:val="21"/>
              </w:rPr>
              <w:t>2025年</w:t>
            </w:r>
          </w:p>
        </w:tc>
        <w:tc>
          <w:tcPr>
            <w:tcW w:type="dxa" w:w="2268"/>
            <w:vAlign w:val="center"/>
            <w:tcMar>
              <w:top w:w="60" w:type="dxa"/>
              <w:start w:w="80" w:type="dxa"/>
              <w:bottom w:w="60" w:type="dxa"/>
              <w:end w:w="80" w:type="dxa"/>
            </w:tcMar>
          </w:tcPr>
          <w:p>
            <w:pPr>
              <w:spacing w:before="0" w:after="0" w:line="240" w:lineRule="auto"/>
              <w:jc w:val="center"/>
            </w:pPr>
            <w:r/>
            <w:r>
              <w:rPr>
                <w:rFonts w:ascii="Times New Roman" w:hAnsi="Times New Roman" w:eastAsia="宋体"/>
                <w:b w:val="0"/>
                <w:sz w:val="21"/>
              </w:rPr>
              <w:t>396.68</w:t>
            </w:r>
          </w:p>
        </w:tc>
        <w:tc>
          <w:tcPr>
            <w:tcW w:type="dxa" w:w="2268"/>
            <w:vAlign w:val="center"/>
            <w:tcMar>
              <w:top w:w="60" w:type="dxa"/>
              <w:start w:w="80" w:type="dxa"/>
              <w:bottom w:w="60" w:type="dxa"/>
              <w:end w:w="80" w:type="dxa"/>
            </w:tcMar>
          </w:tcPr>
          <w:p>
            <w:pPr>
              <w:spacing w:before="0" w:after="0" w:line="240" w:lineRule="auto"/>
              <w:jc w:val="center"/>
            </w:pPr>
            <w:r/>
            <w:r>
              <w:rPr>
                <w:rFonts w:ascii="Times New Roman" w:hAnsi="Times New Roman" w:eastAsia="宋体"/>
                <w:b w:val="0"/>
                <w:sz w:val="21"/>
              </w:rPr>
              <w:t>405.71</w:t>
            </w:r>
          </w:p>
        </w:tc>
        <w:tc>
          <w:tcPr>
            <w:tcW w:type="dxa" w:w="2268"/>
            <w:vAlign w:val="center"/>
            <w:tcMar>
              <w:top w:w="60" w:type="dxa"/>
              <w:start w:w="80" w:type="dxa"/>
              <w:bottom w:w="60" w:type="dxa"/>
              <w:end w:w="80" w:type="dxa"/>
            </w:tcMar>
          </w:tcPr>
          <w:p>
            <w:pPr>
              <w:spacing w:before="0" w:after="0" w:line="240" w:lineRule="auto"/>
              <w:jc w:val="center"/>
            </w:pPr>
            <w:r/>
            <w:r>
              <w:rPr>
                <w:rFonts w:ascii="Times New Roman" w:hAnsi="Times New Roman" w:eastAsia="宋体"/>
                <w:b w:val="0"/>
                <w:sz w:val="21"/>
              </w:rPr>
              <w:t>-9.03分</w:t>
            </w:r>
          </w:p>
        </w:tc>
      </w:tr>
    </w:tbl>
    <w:p>
      <w:pPr>
        <w:spacing w:after="0"/>
      </w:pPr>
    </w:p>
    <w:p>
      <w:pPr>
        <w:spacing w:before="0" w:after="80"/>
      </w:pPr>
      <w:r>
        <w:rPr>
          <w:rFonts w:ascii="Times New Roman" w:hAnsi="Times New Roman" w:eastAsia="宋体"/>
          <w:sz w:val="19"/>
        </w:rPr>
        <w:t>数据来源：国家医学考试中心2023—2025年《医师资格考试成绩分析报告（临床执业医师）》。</w:t>
      </w:r>
    </w:p>
    <w:p>
      <w:pPr>
        <w:spacing w:lineRule="exact" w:line="560" w:before="0" w:after="0"/>
        <w:ind w:firstLine="640"/>
        <w:jc w:val="both"/>
      </w:pPr>
      <w:r>
        <w:rPr>
          <w:rFonts w:ascii="Times New Roman" w:hAnsi="Times New Roman" w:eastAsia="仿宋_GB2312"/>
          <w:b w:val="0"/>
          <w:sz w:val="32"/>
        </w:rPr>
        <w:t>2023年本校医学综合考试通过率低于全国3.69个百分点。2024年通过率提高至82.53%，与全国平均水平基本持平，百分等级达到C；2025年通过率为80.80%，低于全国1.52个百分点，百分等级回落至D。医学综合考试平均分与全国的差距由2023年的5.97分缩小至2024年的2.37分，2025年扩大至9.03分。结果显示，本校医学综合考试具备达到全国平均水平的基础，但年度表现的稳定性仍需加强。</w:t>
      </w:r>
    </w:p>
    <w:p>
      <w:pPr>
        <w:pStyle w:val="Heading2"/>
        <w:keepNext/>
        <w:spacing w:before="120" w:after="40" w:lineRule="exact" w:line="560"/>
        <w:jc w:val="left"/>
      </w:pPr>
      <w:r>
        <w:rPr>
          <w:rFonts w:ascii="Times New Roman" w:hAnsi="Times New Roman" w:eastAsia="黑体"/>
          <w:b/>
          <w:sz w:val="32"/>
        </w:rPr>
        <w:t>2.3 总通过率</w:t>
      </w:r>
    </w:p>
    <w:p>
      <w:pPr>
        <w:spacing w:before="120" w:after="80"/>
        <w:jc w:val="center"/>
      </w:pPr>
      <w:r>
        <w:rPr>
          <w:rFonts w:ascii="Times New Roman" w:hAnsi="Times New Roman" w:eastAsia="宋体"/>
          <w:b/>
          <w:sz w:val="24"/>
        </w:rPr>
        <w:t>表4  2023—2025年总通过率（全日制应届本科考生）</w:t>
      </w:r>
    </w:p>
    <w:tbl>
      <w:tblPr>
        <w:tblStyle w:val="TableGrid"/>
        <w:tblW w:type="dxa" w:w="9072"/>
        <w:jc w:val="center"/>
        <w:tblLayout w:type="autofit"/>
        <w:tblLook w:firstColumn="1" w:firstRow="1" w:lastColumn="0" w:lastRow="0" w:noHBand="0" w:noVBand="1" w:val="04A0"/>
      </w:tblPr>
      <w:tblGrid>
        <w:gridCol w:w="1769"/>
        <w:gridCol w:w="1769"/>
        <w:gridCol w:w="1769"/>
        <w:gridCol w:w="1769"/>
        <w:gridCol w:w="1769"/>
      </w:tblGrid>
      <w:tr>
        <w:trPr>
          <w:tblHeader w:val="true"/>
          <w:cantSplit/>
        </w:trPr>
        <w:tc>
          <w:tcPr>
            <w:tcW w:type="dxa" w:w="1361"/>
            <w:vAlign w:val="center"/>
            <w:shd w:fill="D9E2F3"/>
            <w:tcMar>
              <w:top w:w="60" w:type="dxa"/>
              <w:start w:w="80" w:type="dxa"/>
              <w:bottom w:w="60" w:type="dxa"/>
              <w:end w:w="80" w:type="dxa"/>
            </w:tcMar>
          </w:tcPr>
          <w:p>
            <w:pPr>
              <w:spacing w:before="0" w:after="0" w:line="240" w:lineRule="auto"/>
              <w:jc w:val="center"/>
            </w:pPr>
            <w:r/>
            <w:r>
              <w:rPr>
                <w:rFonts w:ascii="Times New Roman" w:hAnsi="Times New Roman" w:eastAsia="宋体"/>
                <w:b/>
                <w:sz w:val="21"/>
              </w:rPr>
              <w:t>年份</w:t>
            </w:r>
          </w:p>
        </w:tc>
        <w:tc>
          <w:tcPr>
            <w:tcW w:type="dxa" w:w="1701"/>
            <w:vAlign w:val="center"/>
            <w:shd w:fill="D9E2F3"/>
            <w:tcMar>
              <w:top w:w="60" w:type="dxa"/>
              <w:start w:w="80" w:type="dxa"/>
              <w:bottom w:w="60" w:type="dxa"/>
              <w:end w:w="80" w:type="dxa"/>
            </w:tcMar>
          </w:tcPr>
          <w:p>
            <w:pPr>
              <w:spacing w:before="0" w:after="0" w:line="240" w:lineRule="auto"/>
              <w:jc w:val="center"/>
            </w:pPr>
            <w:r/>
            <w:r>
              <w:rPr>
                <w:rFonts w:ascii="Times New Roman" w:hAnsi="Times New Roman" w:eastAsia="宋体"/>
                <w:b/>
                <w:sz w:val="21"/>
              </w:rPr>
              <w:t>本校总通过率</w:t>
            </w:r>
          </w:p>
        </w:tc>
        <w:tc>
          <w:tcPr>
            <w:tcW w:type="dxa" w:w="1701"/>
            <w:vAlign w:val="center"/>
            <w:shd w:fill="D9E2F3"/>
            <w:tcMar>
              <w:top w:w="60" w:type="dxa"/>
              <w:start w:w="80" w:type="dxa"/>
              <w:bottom w:w="60" w:type="dxa"/>
              <w:end w:w="80" w:type="dxa"/>
            </w:tcMar>
          </w:tcPr>
          <w:p>
            <w:pPr>
              <w:spacing w:before="0" w:after="0" w:line="240" w:lineRule="auto"/>
              <w:jc w:val="center"/>
            </w:pPr>
            <w:r/>
            <w:r>
              <w:rPr>
                <w:rFonts w:ascii="Times New Roman" w:hAnsi="Times New Roman" w:eastAsia="宋体"/>
                <w:b/>
                <w:sz w:val="21"/>
              </w:rPr>
              <w:t>全国总通过率</w:t>
            </w:r>
          </w:p>
        </w:tc>
        <w:tc>
          <w:tcPr>
            <w:tcW w:type="dxa" w:w="1984"/>
            <w:vAlign w:val="center"/>
            <w:shd w:fill="D9E2F3"/>
            <w:tcMar>
              <w:top w:w="60" w:type="dxa"/>
              <w:start w:w="80" w:type="dxa"/>
              <w:bottom w:w="60" w:type="dxa"/>
              <w:end w:w="80" w:type="dxa"/>
            </w:tcMar>
          </w:tcPr>
          <w:p>
            <w:pPr>
              <w:spacing w:before="0" w:after="0" w:line="240" w:lineRule="auto"/>
              <w:jc w:val="center"/>
            </w:pPr>
            <w:r/>
            <w:r>
              <w:rPr>
                <w:rFonts w:ascii="Times New Roman" w:hAnsi="Times New Roman" w:eastAsia="宋体"/>
                <w:b/>
                <w:sz w:val="21"/>
              </w:rPr>
              <w:t>本校与全国差值</w:t>
            </w:r>
          </w:p>
        </w:tc>
        <w:tc>
          <w:tcPr>
            <w:tcW w:type="dxa" w:w="1134"/>
            <w:vAlign w:val="center"/>
            <w:shd w:fill="D9E2F3"/>
            <w:tcMar>
              <w:top w:w="60" w:type="dxa"/>
              <w:start w:w="80" w:type="dxa"/>
              <w:bottom w:w="60" w:type="dxa"/>
              <w:end w:w="80" w:type="dxa"/>
            </w:tcMar>
          </w:tcPr>
          <w:p>
            <w:pPr>
              <w:spacing w:before="0" w:after="0" w:line="240" w:lineRule="auto"/>
              <w:jc w:val="center"/>
            </w:pPr>
            <w:r/>
            <w:r>
              <w:rPr>
                <w:rFonts w:ascii="Times New Roman" w:hAnsi="Times New Roman" w:eastAsia="宋体"/>
                <w:b/>
                <w:sz w:val="21"/>
              </w:rPr>
              <w:t>百分等级</w:t>
            </w:r>
          </w:p>
        </w:tc>
      </w:tr>
      <w:tr>
        <w:trPr>
          <w:cantSplit/>
        </w:trPr>
        <w:tc>
          <w:tcPr>
            <w:tcW w:type="dxa" w:w="1361"/>
            <w:vAlign w:val="center"/>
            <w:tcMar>
              <w:top w:w="60" w:type="dxa"/>
              <w:start w:w="80" w:type="dxa"/>
              <w:bottom w:w="60" w:type="dxa"/>
              <w:end w:w="80" w:type="dxa"/>
            </w:tcMar>
          </w:tcPr>
          <w:p>
            <w:pPr>
              <w:spacing w:before="0" w:after="0" w:line="240" w:lineRule="auto"/>
              <w:jc w:val="center"/>
            </w:pPr>
            <w:r/>
            <w:r>
              <w:rPr>
                <w:rFonts w:ascii="Times New Roman" w:hAnsi="Times New Roman" w:eastAsia="宋体"/>
                <w:b w:val="0"/>
                <w:sz w:val="21"/>
              </w:rPr>
              <w:t>2023年</w:t>
            </w:r>
          </w:p>
        </w:tc>
        <w:tc>
          <w:tcPr>
            <w:tcW w:type="dxa" w:w="1701"/>
            <w:vAlign w:val="center"/>
            <w:tcMar>
              <w:top w:w="60" w:type="dxa"/>
              <w:start w:w="80" w:type="dxa"/>
              <w:bottom w:w="60" w:type="dxa"/>
              <w:end w:w="80" w:type="dxa"/>
            </w:tcMar>
          </w:tcPr>
          <w:p>
            <w:pPr>
              <w:spacing w:before="0" w:after="0" w:line="240" w:lineRule="auto"/>
              <w:jc w:val="center"/>
            </w:pPr>
            <w:r/>
            <w:r>
              <w:rPr>
                <w:rFonts w:ascii="Times New Roman" w:hAnsi="Times New Roman" w:eastAsia="宋体"/>
                <w:b w:val="0"/>
                <w:sz w:val="21"/>
              </w:rPr>
              <w:t>63.58%</w:t>
            </w:r>
          </w:p>
        </w:tc>
        <w:tc>
          <w:tcPr>
            <w:tcW w:type="dxa" w:w="1701"/>
            <w:vAlign w:val="center"/>
            <w:tcMar>
              <w:top w:w="60" w:type="dxa"/>
              <w:start w:w="80" w:type="dxa"/>
              <w:bottom w:w="60" w:type="dxa"/>
              <w:end w:w="80" w:type="dxa"/>
            </w:tcMar>
          </w:tcPr>
          <w:p>
            <w:pPr>
              <w:spacing w:before="0" w:after="0" w:line="240" w:lineRule="auto"/>
              <w:jc w:val="center"/>
            </w:pPr>
            <w:r/>
            <w:r>
              <w:rPr>
                <w:rFonts w:ascii="Times New Roman" w:hAnsi="Times New Roman" w:eastAsia="宋体"/>
                <w:b w:val="0"/>
                <w:sz w:val="21"/>
              </w:rPr>
              <w:t>66.59%</w:t>
            </w:r>
          </w:p>
        </w:tc>
        <w:tc>
          <w:tcPr>
            <w:tcW w:type="dxa" w:w="1984"/>
            <w:vAlign w:val="center"/>
            <w:tcMar>
              <w:top w:w="60" w:type="dxa"/>
              <w:start w:w="80" w:type="dxa"/>
              <w:bottom w:w="60" w:type="dxa"/>
              <w:end w:w="80" w:type="dxa"/>
            </w:tcMar>
          </w:tcPr>
          <w:p>
            <w:pPr>
              <w:spacing w:before="0" w:after="0" w:line="240" w:lineRule="auto"/>
              <w:jc w:val="center"/>
            </w:pPr>
            <w:r/>
            <w:r>
              <w:rPr>
                <w:rFonts w:ascii="Times New Roman" w:hAnsi="Times New Roman" w:eastAsia="宋体"/>
                <w:b w:val="0"/>
                <w:sz w:val="21"/>
              </w:rPr>
              <w:t>-3.01个百分点</w:t>
            </w:r>
          </w:p>
        </w:tc>
        <w:tc>
          <w:tcPr>
            <w:tcW w:type="dxa" w:w="1134"/>
            <w:vAlign w:val="center"/>
            <w:tcMar>
              <w:top w:w="60" w:type="dxa"/>
              <w:start w:w="80" w:type="dxa"/>
              <w:bottom w:w="60" w:type="dxa"/>
              <w:end w:w="80" w:type="dxa"/>
            </w:tcMar>
          </w:tcPr>
          <w:p>
            <w:pPr>
              <w:spacing w:before="0" w:after="0" w:line="240" w:lineRule="auto"/>
              <w:jc w:val="center"/>
            </w:pPr>
            <w:r/>
            <w:r>
              <w:rPr>
                <w:rFonts w:ascii="Times New Roman" w:hAnsi="Times New Roman" w:eastAsia="宋体"/>
                <w:b w:val="0"/>
                <w:sz w:val="21"/>
              </w:rPr>
              <w:t>—</w:t>
            </w:r>
          </w:p>
        </w:tc>
      </w:tr>
      <w:tr>
        <w:trPr>
          <w:cantSplit/>
        </w:trPr>
        <w:tc>
          <w:tcPr>
            <w:tcW w:type="dxa" w:w="1361"/>
            <w:vAlign w:val="center"/>
            <w:tcMar>
              <w:top w:w="60" w:type="dxa"/>
              <w:start w:w="80" w:type="dxa"/>
              <w:bottom w:w="60" w:type="dxa"/>
              <w:end w:w="80" w:type="dxa"/>
            </w:tcMar>
          </w:tcPr>
          <w:p>
            <w:pPr>
              <w:spacing w:before="0" w:after="0" w:line="240" w:lineRule="auto"/>
              <w:jc w:val="center"/>
            </w:pPr>
            <w:r/>
            <w:r>
              <w:rPr>
                <w:rFonts w:ascii="Times New Roman" w:hAnsi="Times New Roman" w:eastAsia="宋体"/>
                <w:b w:val="0"/>
                <w:sz w:val="21"/>
              </w:rPr>
              <w:t>2024年</w:t>
            </w:r>
          </w:p>
        </w:tc>
        <w:tc>
          <w:tcPr>
            <w:tcW w:type="dxa" w:w="1701"/>
            <w:vAlign w:val="center"/>
            <w:tcMar>
              <w:top w:w="60" w:type="dxa"/>
              <w:start w:w="80" w:type="dxa"/>
              <w:bottom w:w="60" w:type="dxa"/>
              <w:end w:w="80" w:type="dxa"/>
            </w:tcMar>
          </w:tcPr>
          <w:p>
            <w:pPr>
              <w:spacing w:before="0" w:after="0" w:line="240" w:lineRule="auto"/>
              <w:jc w:val="center"/>
            </w:pPr>
            <w:r/>
            <w:r>
              <w:rPr>
                <w:rFonts w:ascii="Times New Roman" w:hAnsi="Times New Roman" w:eastAsia="宋体"/>
                <w:b w:val="0"/>
                <w:sz w:val="21"/>
              </w:rPr>
              <w:t>74.12%</w:t>
            </w:r>
          </w:p>
        </w:tc>
        <w:tc>
          <w:tcPr>
            <w:tcW w:type="dxa" w:w="1701"/>
            <w:vAlign w:val="center"/>
            <w:tcMar>
              <w:top w:w="60" w:type="dxa"/>
              <w:start w:w="80" w:type="dxa"/>
              <w:bottom w:w="60" w:type="dxa"/>
              <w:end w:w="80" w:type="dxa"/>
            </w:tcMar>
          </w:tcPr>
          <w:p>
            <w:pPr>
              <w:spacing w:before="0" w:after="0" w:line="240" w:lineRule="auto"/>
              <w:jc w:val="center"/>
            </w:pPr>
            <w:r/>
            <w:r>
              <w:rPr>
                <w:rFonts w:ascii="Times New Roman" w:hAnsi="Times New Roman" w:eastAsia="宋体"/>
                <w:b w:val="0"/>
                <w:sz w:val="21"/>
              </w:rPr>
              <w:t>74.67%</w:t>
            </w:r>
          </w:p>
        </w:tc>
        <w:tc>
          <w:tcPr>
            <w:tcW w:type="dxa" w:w="1984"/>
            <w:vAlign w:val="center"/>
            <w:tcMar>
              <w:top w:w="60" w:type="dxa"/>
              <w:start w:w="80" w:type="dxa"/>
              <w:bottom w:w="60" w:type="dxa"/>
              <w:end w:w="80" w:type="dxa"/>
            </w:tcMar>
          </w:tcPr>
          <w:p>
            <w:pPr>
              <w:spacing w:before="0" w:after="0" w:line="240" w:lineRule="auto"/>
              <w:jc w:val="center"/>
            </w:pPr>
            <w:r/>
            <w:r>
              <w:rPr>
                <w:rFonts w:ascii="Times New Roman" w:hAnsi="Times New Roman" w:eastAsia="宋体"/>
                <w:b w:val="0"/>
                <w:sz w:val="21"/>
              </w:rPr>
              <w:t>-0.55个百分点</w:t>
            </w:r>
          </w:p>
        </w:tc>
        <w:tc>
          <w:tcPr>
            <w:tcW w:type="dxa" w:w="1134"/>
            <w:vAlign w:val="center"/>
            <w:tcMar>
              <w:top w:w="60" w:type="dxa"/>
              <w:start w:w="80" w:type="dxa"/>
              <w:bottom w:w="60" w:type="dxa"/>
              <w:end w:w="80" w:type="dxa"/>
            </w:tcMar>
          </w:tcPr>
          <w:p>
            <w:pPr>
              <w:spacing w:before="0" w:after="0" w:line="240" w:lineRule="auto"/>
              <w:jc w:val="center"/>
            </w:pPr>
            <w:r/>
            <w:r>
              <w:rPr>
                <w:rFonts w:ascii="Times New Roman" w:hAnsi="Times New Roman" w:eastAsia="宋体"/>
                <w:b w:val="0"/>
                <w:sz w:val="21"/>
              </w:rPr>
              <w:t>D</w:t>
            </w:r>
          </w:p>
        </w:tc>
      </w:tr>
      <w:tr>
        <w:trPr>
          <w:cantSplit/>
        </w:trPr>
        <w:tc>
          <w:tcPr>
            <w:tcW w:type="dxa" w:w="1361"/>
            <w:vAlign w:val="center"/>
            <w:tcMar>
              <w:top w:w="60" w:type="dxa"/>
              <w:start w:w="80" w:type="dxa"/>
              <w:bottom w:w="60" w:type="dxa"/>
              <w:end w:w="80" w:type="dxa"/>
            </w:tcMar>
          </w:tcPr>
          <w:p>
            <w:pPr>
              <w:spacing w:before="0" w:after="0" w:line="240" w:lineRule="auto"/>
              <w:jc w:val="center"/>
            </w:pPr>
            <w:r/>
            <w:r>
              <w:rPr>
                <w:rFonts w:ascii="Times New Roman" w:hAnsi="Times New Roman" w:eastAsia="宋体"/>
                <w:b w:val="0"/>
                <w:sz w:val="21"/>
              </w:rPr>
              <w:t>2025年</w:t>
            </w:r>
          </w:p>
        </w:tc>
        <w:tc>
          <w:tcPr>
            <w:tcW w:type="dxa" w:w="1701"/>
            <w:vAlign w:val="center"/>
            <w:tcMar>
              <w:top w:w="60" w:type="dxa"/>
              <w:start w:w="80" w:type="dxa"/>
              <w:bottom w:w="60" w:type="dxa"/>
              <w:end w:w="80" w:type="dxa"/>
            </w:tcMar>
          </w:tcPr>
          <w:p>
            <w:pPr>
              <w:spacing w:before="0" w:after="0" w:line="240" w:lineRule="auto"/>
              <w:jc w:val="center"/>
            </w:pPr>
            <w:r/>
            <w:r>
              <w:rPr>
                <w:rFonts w:ascii="Times New Roman" w:hAnsi="Times New Roman" w:eastAsia="宋体"/>
                <w:b w:val="0"/>
                <w:sz w:val="21"/>
              </w:rPr>
              <w:t>72.40%</w:t>
            </w:r>
          </w:p>
        </w:tc>
        <w:tc>
          <w:tcPr>
            <w:tcW w:type="dxa" w:w="1701"/>
            <w:vAlign w:val="center"/>
            <w:tcMar>
              <w:top w:w="60" w:type="dxa"/>
              <w:start w:w="80" w:type="dxa"/>
              <w:bottom w:w="60" w:type="dxa"/>
              <w:end w:w="80" w:type="dxa"/>
            </w:tcMar>
          </w:tcPr>
          <w:p>
            <w:pPr>
              <w:spacing w:before="0" w:after="0" w:line="240" w:lineRule="auto"/>
              <w:jc w:val="center"/>
            </w:pPr>
            <w:r/>
            <w:r>
              <w:rPr>
                <w:rFonts w:ascii="Times New Roman" w:hAnsi="Times New Roman" w:eastAsia="宋体"/>
                <w:b w:val="0"/>
                <w:sz w:val="21"/>
              </w:rPr>
              <w:t>74.78%</w:t>
            </w:r>
          </w:p>
        </w:tc>
        <w:tc>
          <w:tcPr>
            <w:tcW w:type="dxa" w:w="1984"/>
            <w:vAlign w:val="center"/>
            <w:tcMar>
              <w:top w:w="60" w:type="dxa"/>
              <w:start w:w="80" w:type="dxa"/>
              <w:bottom w:w="60" w:type="dxa"/>
              <w:end w:w="80" w:type="dxa"/>
            </w:tcMar>
          </w:tcPr>
          <w:p>
            <w:pPr>
              <w:spacing w:before="0" w:after="0" w:line="240" w:lineRule="auto"/>
              <w:jc w:val="center"/>
            </w:pPr>
            <w:r/>
            <w:r>
              <w:rPr>
                <w:rFonts w:ascii="Times New Roman" w:hAnsi="Times New Roman" w:eastAsia="宋体"/>
                <w:b w:val="0"/>
                <w:sz w:val="21"/>
              </w:rPr>
              <w:t>-2.38个百分点</w:t>
            </w:r>
          </w:p>
        </w:tc>
        <w:tc>
          <w:tcPr>
            <w:tcW w:type="dxa" w:w="1134"/>
            <w:vAlign w:val="center"/>
            <w:tcMar>
              <w:top w:w="60" w:type="dxa"/>
              <w:start w:w="80" w:type="dxa"/>
              <w:bottom w:w="60" w:type="dxa"/>
              <w:end w:w="80" w:type="dxa"/>
            </w:tcMar>
          </w:tcPr>
          <w:p>
            <w:pPr>
              <w:spacing w:before="0" w:after="0" w:line="240" w:lineRule="auto"/>
              <w:jc w:val="center"/>
            </w:pPr>
            <w:r/>
            <w:r>
              <w:rPr>
                <w:rFonts w:ascii="Times New Roman" w:hAnsi="Times New Roman" w:eastAsia="宋体"/>
                <w:b w:val="0"/>
                <w:sz w:val="21"/>
              </w:rPr>
              <w:t>D</w:t>
            </w:r>
          </w:p>
        </w:tc>
      </w:tr>
    </w:tbl>
    <w:p>
      <w:pPr>
        <w:spacing w:after="0"/>
      </w:pPr>
    </w:p>
    <w:p>
      <w:pPr>
        <w:spacing w:lineRule="exact" w:line="560" w:before="0" w:after="0"/>
        <w:ind w:firstLine="640"/>
        <w:jc w:val="both"/>
      </w:pPr>
      <w:r>
        <w:rPr>
          <w:rFonts w:ascii="Times New Roman" w:hAnsi="Times New Roman" w:eastAsia="仿宋_GB2312"/>
          <w:b w:val="0"/>
          <w:sz w:val="32"/>
        </w:rPr>
        <w:t>近三年本校总通过率分别为63.58%、74.12%和72.40%，均低于同期全国平均水平。2024年与全国差距缩小至0.55个百分点，2025年扩大至2.38个百分点；2024年和2025年百分等级均为D。学校下一阶段应以稳定达到全国平均水平为基本目标，同时关注百分等级、平均分和连续年度表现。</w:t>
      </w:r>
    </w:p>
    <w:p>
      <w:pPr>
        <w:pStyle w:val="Heading2"/>
        <w:keepNext/>
        <w:spacing w:before="120" w:after="40" w:lineRule="exact" w:line="560"/>
        <w:jc w:val="left"/>
      </w:pPr>
      <w:r>
        <w:rPr>
          <w:rFonts w:ascii="Times New Roman" w:hAnsi="Times New Roman" w:eastAsia="黑体"/>
          <w:b/>
          <w:sz w:val="32"/>
        </w:rPr>
        <w:t>2.4 2025年外部比较</w:t>
      </w:r>
    </w:p>
    <w:p>
      <w:pPr>
        <w:spacing w:before="120" w:after="80"/>
        <w:jc w:val="center"/>
      </w:pPr>
      <w:r>
        <w:rPr>
          <w:rFonts w:ascii="Times New Roman" w:hAnsi="Times New Roman" w:eastAsia="宋体"/>
          <w:b/>
          <w:sz w:val="24"/>
        </w:rPr>
        <w:t>表5  2025年医学综合考试通过率及平均分比较</w:t>
      </w:r>
    </w:p>
    <w:tbl>
      <w:tblPr>
        <w:tblStyle w:val="TableGrid"/>
        <w:tblW w:type="dxa" w:w="9072"/>
        <w:jc w:val="center"/>
        <w:tblLayout w:type="autofit"/>
        <w:tblLook w:firstColumn="1" w:firstRow="1" w:lastColumn="0" w:lastRow="0" w:noHBand="0" w:noVBand="1" w:val="04A0"/>
      </w:tblPr>
      <w:tblGrid>
        <w:gridCol w:w="2948"/>
        <w:gridCol w:w="2948"/>
        <w:gridCol w:w="2948"/>
      </w:tblGrid>
      <w:tr>
        <w:trPr>
          <w:tblHeader w:val="true"/>
          <w:cantSplit/>
        </w:trPr>
        <w:tc>
          <w:tcPr>
            <w:tcW w:type="dxa" w:w="3402"/>
            <w:vAlign w:val="center"/>
            <w:shd w:fill="D9E2F3"/>
            <w:tcMar>
              <w:top w:w="60" w:type="dxa"/>
              <w:start w:w="80" w:type="dxa"/>
              <w:bottom w:w="60" w:type="dxa"/>
              <w:end w:w="80" w:type="dxa"/>
            </w:tcMar>
          </w:tcPr>
          <w:p>
            <w:pPr>
              <w:spacing w:before="0" w:after="0" w:line="240" w:lineRule="auto"/>
              <w:jc w:val="center"/>
            </w:pPr>
            <w:r/>
            <w:r>
              <w:rPr>
                <w:rFonts w:ascii="Times New Roman" w:hAnsi="Times New Roman" w:eastAsia="宋体"/>
                <w:b/>
                <w:sz w:val="21"/>
              </w:rPr>
              <w:t>考生群体</w:t>
            </w:r>
          </w:p>
        </w:tc>
        <w:tc>
          <w:tcPr>
            <w:tcW w:type="dxa" w:w="2551"/>
            <w:vAlign w:val="center"/>
            <w:shd w:fill="D9E2F3"/>
            <w:tcMar>
              <w:top w:w="60" w:type="dxa"/>
              <w:start w:w="80" w:type="dxa"/>
              <w:bottom w:w="60" w:type="dxa"/>
              <w:end w:w="80" w:type="dxa"/>
            </w:tcMar>
          </w:tcPr>
          <w:p>
            <w:pPr>
              <w:spacing w:before="0" w:after="0" w:line="240" w:lineRule="auto"/>
              <w:jc w:val="center"/>
            </w:pPr>
            <w:r/>
            <w:r>
              <w:rPr>
                <w:rFonts w:ascii="Times New Roman" w:hAnsi="Times New Roman" w:eastAsia="宋体"/>
                <w:b/>
                <w:sz w:val="21"/>
              </w:rPr>
              <w:t>通过率</w:t>
            </w:r>
          </w:p>
        </w:tc>
        <w:tc>
          <w:tcPr>
            <w:tcW w:type="dxa" w:w="2551"/>
            <w:vAlign w:val="center"/>
            <w:shd w:fill="D9E2F3"/>
            <w:tcMar>
              <w:top w:w="60" w:type="dxa"/>
              <w:start w:w="80" w:type="dxa"/>
              <w:bottom w:w="60" w:type="dxa"/>
              <w:end w:w="80" w:type="dxa"/>
            </w:tcMar>
          </w:tcPr>
          <w:p>
            <w:pPr>
              <w:spacing w:before="0" w:after="0" w:line="240" w:lineRule="auto"/>
              <w:jc w:val="center"/>
            </w:pPr>
            <w:r/>
            <w:r>
              <w:rPr>
                <w:rFonts w:ascii="Times New Roman" w:hAnsi="Times New Roman" w:eastAsia="宋体"/>
                <w:b/>
                <w:sz w:val="21"/>
              </w:rPr>
              <w:t>平均分</w:t>
            </w:r>
          </w:p>
        </w:tc>
      </w:tr>
      <w:tr>
        <w:trPr>
          <w:cantSplit/>
        </w:trPr>
        <w:tc>
          <w:tcPr>
            <w:tcW w:type="dxa" w:w="3402"/>
            <w:vAlign w:val="center"/>
            <w:tcMar>
              <w:top w:w="60" w:type="dxa"/>
              <w:start w:w="80" w:type="dxa"/>
              <w:bottom w:w="60" w:type="dxa"/>
              <w:end w:w="80" w:type="dxa"/>
            </w:tcMar>
          </w:tcPr>
          <w:p>
            <w:pPr>
              <w:spacing w:before="0" w:after="0" w:line="240" w:lineRule="auto"/>
              <w:jc w:val="left"/>
            </w:pPr>
            <w:r/>
            <w:r>
              <w:rPr>
                <w:rFonts w:ascii="Times New Roman" w:hAnsi="Times New Roman" w:eastAsia="宋体"/>
                <w:b w:val="0"/>
                <w:sz w:val="21"/>
              </w:rPr>
              <w:t>本校</w:t>
            </w:r>
          </w:p>
        </w:tc>
        <w:tc>
          <w:tcPr>
            <w:tcW w:type="dxa" w:w="2551"/>
            <w:vAlign w:val="center"/>
            <w:tcMar>
              <w:top w:w="60" w:type="dxa"/>
              <w:start w:w="80" w:type="dxa"/>
              <w:bottom w:w="60" w:type="dxa"/>
              <w:end w:w="80" w:type="dxa"/>
            </w:tcMar>
          </w:tcPr>
          <w:p>
            <w:pPr>
              <w:spacing w:before="0" w:after="0" w:line="240" w:lineRule="auto"/>
              <w:jc w:val="center"/>
            </w:pPr>
            <w:r/>
            <w:r>
              <w:rPr>
                <w:rFonts w:ascii="Times New Roman" w:hAnsi="Times New Roman" w:eastAsia="宋体"/>
                <w:b w:val="0"/>
                <w:sz w:val="21"/>
              </w:rPr>
              <w:t>80.80%</w:t>
            </w:r>
          </w:p>
        </w:tc>
        <w:tc>
          <w:tcPr>
            <w:tcW w:type="dxa" w:w="2551"/>
            <w:vAlign w:val="center"/>
            <w:tcMar>
              <w:top w:w="60" w:type="dxa"/>
              <w:start w:w="80" w:type="dxa"/>
              <w:bottom w:w="60" w:type="dxa"/>
              <w:end w:w="80" w:type="dxa"/>
            </w:tcMar>
          </w:tcPr>
          <w:p>
            <w:pPr>
              <w:spacing w:before="0" w:after="0" w:line="240" w:lineRule="auto"/>
              <w:jc w:val="center"/>
            </w:pPr>
            <w:r/>
            <w:r>
              <w:rPr>
                <w:rFonts w:ascii="Times New Roman" w:hAnsi="Times New Roman" w:eastAsia="宋体"/>
                <w:b w:val="0"/>
                <w:sz w:val="21"/>
              </w:rPr>
              <w:t>396.68</w:t>
            </w:r>
          </w:p>
        </w:tc>
      </w:tr>
      <w:tr>
        <w:trPr>
          <w:cantSplit/>
        </w:trPr>
        <w:tc>
          <w:tcPr>
            <w:tcW w:type="dxa" w:w="3402"/>
            <w:vAlign w:val="center"/>
            <w:tcMar>
              <w:top w:w="60" w:type="dxa"/>
              <w:start w:w="80" w:type="dxa"/>
              <w:bottom w:w="60" w:type="dxa"/>
              <w:end w:w="80" w:type="dxa"/>
            </w:tcMar>
          </w:tcPr>
          <w:p>
            <w:pPr>
              <w:spacing w:before="0" w:after="0" w:line="240" w:lineRule="auto"/>
              <w:jc w:val="left"/>
            </w:pPr>
            <w:r/>
            <w:r>
              <w:rPr>
                <w:rFonts w:ascii="Times New Roman" w:hAnsi="Times New Roman" w:eastAsia="宋体"/>
                <w:b w:val="0"/>
                <w:sz w:val="21"/>
              </w:rPr>
              <w:t>全国</w:t>
            </w:r>
          </w:p>
        </w:tc>
        <w:tc>
          <w:tcPr>
            <w:tcW w:type="dxa" w:w="2551"/>
            <w:vAlign w:val="center"/>
            <w:tcMar>
              <w:top w:w="60" w:type="dxa"/>
              <w:start w:w="80" w:type="dxa"/>
              <w:bottom w:w="60" w:type="dxa"/>
              <w:end w:w="80" w:type="dxa"/>
            </w:tcMar>
          </w:tcPr>
          <w:p>
            <w:pPr>
              <w:spacing w:before="0" w:after="0" w:line="240" w:lineRule="auto"/>
              <w:jc w:val="center"/>
            </w:pPr>
            <w:r/>
            <w:r>
              <w:rPr>
                <w:rFonts w:ascii="Times New Roman" w:hAnsi="Times New Roman" w:eastAsia="宋体"/>
                <w:b w:val="0"/>
                <w:sz w:val="21"/>
              </w:rPr>
              <w:t>82.32%</w:t>
            </w:r>
          </w:p>
        </w:tc>
        <w:tc>
          <w:tcPr>
            <w:tcW w:type="dxa" w:w="2551"/>
            <w:vAlign w:val="center"/>
            <w:tcMar>
              <w:top w:w="60" w:type="dxa"/>
              <w:start w:w="80" w:type="dxa"/>
              <w:bottom w:w="60" w:type="dxa"/>
              <w:end w:w="80" w:type="dxa"/>
            </w:tcMar>
          </w:tcPr>
          <w:p>
            <w:pPr>
              <w:spacing w:before="0" w:after="0" w:line="240" w:lineRule="auto"/>
              <w:jc w:val="center"/>
            </w:pPr>
            <w:r/>
            <w:r>
              <w:rPr>
                <w:rFonts w:ascii="Times New Roman" w:hAnsi="Times New Roman" w:eastAsia="宋体"/>
                <w:b w:val="0"/>
                <w:sz w:val="21"/>
              </w:rPr>
              <w:t>405.71</w:t>
            </w:r>
          </w:p>
        </w:tc>
      </w:tr>
      <w:tr>
        <w:trPr>
          <w:cantSplit/>
        </w:trPr>
        <w:tc>
          <w:tcPr>
            <w:tcW w:type="dxa" w:w="3402"/>
            <w:vAlign w:val="center"/>
            <w:tcMar>
              <w:top w:w="60" w:type="dxa"/>
              <w:start w:w="80" w:type="dxa"/>
              <w:bottom w:w="60" w:type="dxa"/>
              <w:end w:w="80" w:type="dxa"/>
            </w:tcMar>
          </w:tcPr>
          <w:p>
            <w:pPr>
              <w:spacing w:before="0" w:after="0" w:line="240" w:lineRule="auto"/>
              <w:jc w:val="left"/>
            </w:pPr>
            <w:r/>
            <w:r>
              <w:rPr>
                <w:rFonts w:ascii="Times New Roman" w:hAnsi="Times New Roman" w:eastAsia="宋体"/>
                <w:b w:val="0"/>
                <w:sz w:val="21"/>
              </w:rPr>
              <w:t>辖区内学校</w:t>
            </w:r>
          </w:p>
        </w:tc>
        <w:tc>
          <w:tcPr>
            <w:tcW w:type="dxa" w:w="2551"/>
            <w:vAlign w:val="center"/>
            <w:tcMar>
              <w:top w:w="60" w:type="dxa"/>
              <w:start w:w="80" w:type="dxa"/>
              <w:bottom w:w="60" w:type="dxa"/>
              <w:end w:w="80" w:type="dxa"/>
            </w:tcMar>
          </w:tcPr>
          <w:p>
            <w:pPr>
              <w:spacing w:before="0" w:after="0" w:line="240" w:lineRule="auto"/>
              <w:jc w:val="center"/>
            </w:pPr>
            <w:r/>
            <w:r>
              <w:rPr>
                <w:rFonts w:ascii="Times New Roman" w:hAnsi="Times New Roman" w:eastAsia="宋体"/>
                <w:b w:val="0"/>
                <w:sz w:val="21"/>
              </w:rPr>
              <w:t>86.02%</w:t>
            </w:r>
          </w:p>
        </w:tc>
        <w:tc>
          <w:tcPr>
            <w:tcW w:type="dxa" w:w="2551"/>
            <w:vAlign w:val="center"/>
            <w:tcMar>
              <w:top w:w="60" w:type="dxa"/>
              <w:start w:w="80" w:type="dxa"/>
              <w:bottom w:w="60" w:type="dxa"/>
              <w:end w:w="80" w:type="dxa"/>
            </w:tcMar>
          </w:tcPr>
          <w:p>
            <w:pPr>
              <w:spacing w:before="0" w:after="0" w:line="240" w:lineRule="auto"/>
              <w:jc w:val="center"/>
            </w:pPr>
            <w:r/>
            <w:r>
              <w:rPr>
                <w:rFonts w:ascii="Times New Roman" w:hAnsi="Times New Roman" w:eastAsia="宋体"/>
                <w:b w:val="0"/>
                <w:sz w:val="21"/>
              </w:rPr>
              <w:t>408.58</w:t>
            </w:r>
          </w:p>
        </w:tc>
      </w:tr>
      <w:tr>
        <w:trPr>
          <w:cantSplit/>
        </w:trPr>
        <w:tc>
          <w:tcPr>
            <w:tcW w:type="dxa" w:w="3402"/>
            <w:vAlign w:val="center"/>
            <w:tcMar>
              <w:top w:w="60" w:type="dxa"/>
              <w:start w:w="80" w:type="dxa"/>
              <w:bottom w:w="60" w:type="dxa"/>
              <w:end w:w="80" w:type="dxa"/>
            </w:tcMar>
          </w:tcPr>
          <w:p>
            <w:pPr>
              <w:spacing w:before="0" w:after="0" w:line="240" w:lineRule="auto"/>
              <w:jc w:val="left"/>
            </w:pPr>
            <w:r/>
            <w:r>
              <w:rPr>
                <w:rFonts w:ascii="Times New Roman" w:hAnsi="Times New Roman" w:eastAsia="宋体"/>
                <w:b w:val="0"/>
                <w:sz w:val="21"/>
              </w:rPr>
              <w:t>“双一流”高校</w:t>
            </w:r>
          </w:p>
        </w:tc>
        <w:tc>
          <w:tcPr>
            <w:tcW w:type="dxa" w:w="2551"/>
            <w:vAlign w:val="center"/>
            <w:tcMar>
              <w:top w:w="60" w:type="dxa"/>
              <w:start w:w="80" w:type="dxa"/>
              <w:bottom w:w="60" w:type="dxa"/>
              <w:end w:w="80" w:type="dxa"/>
            </w:tcMar>
          </w:tcPr>
          <w:p>
            <w:pPr>
              <w:spacing w:before="0" w:after="0" w:line="240" w:lineRule="auto"/>
              <w:jc w:val="center"/>
            </w:pPr>
            <w:r/>
            <w:r>
              <w:rPr>
                <w:rFonts w:ascii="Times New Roman" w:hAnsi="Times New Roman" w:eastAsia="宋体"/>
                <w:b w:val="0"/>
                <w:sz w:val="21"/>
              </w:rPr>
              <w:t>90.48%</w:t>
            </w:r>
          </w:p>
        </w:tc>
        <w:tc>
          <w:tcPr>
            <w:tcW w:type="dxa" w:w="2551"/>
            <w:vAlign w:val="center"/>
            <w:tcMar>
              <w:top w:w="60" w:type="dxa"/>
              <w:start w:w="80" w:type="dxa"/>
              <w:bottom w:w="60" w:type="dxa"/>
              <w:end w:w="80" w:type="dxa"/>
            </w:tcMar>
          </w:tcPr>
          <w:p>
            <w:pPr>
              <w:spacing w:before="0" w:after="0" w:line="240" w:lineRule="auto"/>
              <w:jc w:val="center"/>
            </w:pPr>
            <w:r/>
            <w:r>
              <w:rPr>
                <w:rFonts w:ascii="Times New Roman" w:hAnsi="Times New Roman" w:eastAsia="宋体"/>
                <w:b w:val="0"/>
                <w:sz w:val="21"/>
              </w:rPr>
              <w:t>421.01</w:t>
            </w:r>
          </w:p>
        </w:tc>
      </w:tr>
      <w:tr>
        <w:trPr>
          <w:cantSplit/>
        </w:trPr>
        <w:tc>
          <w:tcPr>
            <w:tcW w:type="dxa" w:w="3402"/>
            <w:vAlign w:val="center"/>
            <w:tcMar>
              <w:top w:w="60" w:type="dxa"/>
              <w:start w:w="80" w:type="dxa"/>
              <w:bottom w:w="60" w:type="dxa"/>
              <w:end w:w="80" w:type="dxa"/>
            </w:tcMar>
          </w:tcPr>
          <w:p>
            <w:pPr>
              <w:spacing w:before="0" w:after="0" w:line="240" w:lineRule="auto"/>
              <w:jc w:val="left"/>
            </w:pPr>
            <w:r/>
            <w:r>
              <w:rPr>
                <w:rFonts w:ascii="Times New Roman" w:hAnsi="Times New Roman" w:eastAsia="宋体"/>
                <w:b w:val="0"/>
                <w:sz w:val="21"/>
              </w:rPr>
              <w:t>原211高校</w:t>
            </w:r>
          </w:p>
        </w:tc>
        <w:tc>
          <w:tcPr>
            <w:tcW w:type="dxa" w:w="2551"/>
            <w:vAlign w:val="center"/>
            <w:tcMar>
              <w:top w:w="60" w:type="dxa"/>
              <w:start w:w="80" w:type="dxa"/>
              <w:bottom w:w="60" w:type="dxa"/>
              <w:end w:w="80" w:type="dxa"/>
            </w:tcMar>
          </w:tcPr>
          <w:p>
            <w:pPr>
              <w:spacing w:before="0" w:after="0" w:line="240" w:lineRule="auto"/>
              <w:jc w:val="center"/>
            </w:pPr>
            <w:r/>
            <w:r>
              <w:rPr>
                <w:rFonts w:ascii="Times New Roman" w:hAnsi="Times New Roman" w:eastAsia="宋体"/>
                <w:b w:val="0"/>
                <w:sz w:val="21"/>
              </w:rPr>
              <w:t>89.49%</w:t>
            </w:r>
          </w:p>
        </w:tc>
        <w:tc>
          <w:tcPr>
            <w:tcW w:type="dxa" w:w="2551"/>
            <w:vAlign w:val="center"/>
            <w:tcMar>
              <w:top w:w="60" w:type="dxa"/>
              <w:start w:w="80" w:type="dxa"/>
              <w:bottom w:w="60" w:type="dxa"/>
              <w:end w:w="80" w:type="dxa"/>
            </w:tcMar>
          </w:tcPr>
          <w:p>
            <w:pPr>
              <w:spacing w:before="0" w:after="0" w:line="240" w:lineRule="auto"/>
              <w:jc w:val="center"/>
            </w:pPr>
            <w:r/>
            <w:r>
              <w:rPr>
                <w:rFonts w:ascii="Times New Roman" w:hAnsi="Times New Roman" w:eastAsia="宋体"/>
                <w:b w:val="0"/>
                <w:sz w:val="21"/>
              </w:rPr>
              <w:t>418.40</w:t>
            </w:r>
          </w:p>
        </w:tc>
      </w:tr>
      <w:tr>
        <w:trPr>
          <w:cantSplit/>
        </w:trPr>
        <w:tc>
          <w:tcPr>
            <w:tcW w:type="dxa" w:w="3402"/>
            <w:vAlign w:val="center"/>
            <w:tcMar>
              <w:top w:w="60" w:type="dxa"/>
              <w:start w:w="80" w:type="dxa"/>
              <w:bottom w:w="60" w:type="dxa"/>
              <w:end w:w="80" w:type="dxa"/>
            </w:tcMar>
          </w:tcPr>
          <w:p>
            <w:pPr>
              <w:spacing w:before="0" w:after="0" w:line="240" w:lineRule="auto"/>
              <w:jc w:val="left"/>
            </w:pPr>
            <w:r/>
            <w:r>
              <w:rPr>
                <w:rFonts w:ascii="Times New Roman" w:hAnsi="Times New Roman" w:eastAsia="宋体"/>
                <w:b w:val="0"/>
                <w:sz w:val="21"/>
              </w:rPr>
              <w:t>原985高校</w:t>
            </w:r>
          </w:p>
        </w:tc>
        <w:tc>
          <w:tcPr>
            <w:tcW w:type="dxa" w:w="2551"/>
            <w:vAlign w:val="center"/>
            <w:tcMar>
              <w:top w:w="60" w:type="dxa"/>
              <w:start w:w="80" w:type="dxa"/>
              <w:bottom w:w="60" w:type="dxa"/>
              <w:end w:w="80" w:type="dxa"/>
            </w:tcMar>
          </w:tcPr>
          <w:p>
            <w:pPr>
              <w:spacing w:before="0" w:after="0" w:line="240" w:lineRule="auto"/>
              <w:jc w:val="center"/>
            </w:pPr>
            <w:r/>
            <w:r>
              <w:rPr>
                <w:rFonts w:ascii="Times New Roman" w:hAnsi="Times New Roman" w:eastAsia="宋体"/>
                <w:b w:val="0"/>
                <w:sz w:val="21"/>
              </w:rPr>
              <w:t>94.53%</w:t>
            </w:r>
          </w:p>
        </w:tc>
        <w:tc>
          <w:tcPr>
            <w:tcW w:type="dxa" w:w="2551"/>
            <w:vAlign w:val="center"/>
            <w:tcMar>
              <w:top w:w="60" w:type="dxa"/>
              <w:start w:w="80" w:type="dxa"/>
              <w:bottom w:w="60" w:type="dxa"/>
              <w:end w:w="80" w:type="dxa"/>
            </w:tcMar>
          </w:tcPr>
          <w:p>
            <w:pPr>
              <w:spacing w:before="0" w:after="0" w:line="240" w:lineRule="auto"/>
              <w:jc w:val="center"/>
            </w:pPr>
            <w:r/>
            <w:r>
              <w:rPr>
                <w:rFonts w:ascii="Times New Roman" w:hAnsi="Times New Roman" w:eastAsia="宋体"/>
                <w:b w:val="0"/>
                <w:sz w:val="21"/>
              </w:rPr>
              <w:t>429.13</w:t>
            </w:r>
          </w:p>
        </w:tc>
      </w:tr>
      <w:tr>
        <w:trPr>
          <w:cantSplit/>
        </w:trPr>
        <w:tc>
          <w:tcPr>
            <w:tcW w:type="dxa" w:w="3402"/>
            <w:vAlign w:val="center"/>
            <w:tcMar>
              <w:top w:w="60" w:type="dxa"/>
              <w:start w:w="80" w:type="dxa"/>
              <w:bottom w:w="60" w:type="dxa"/>
              <w:end w:w="80" w:type="dxa"/>
            </w:tcMar>
          </w:tcPr>
          <w:p>
            <w:pPr>
              <w:spacing w:before="0" w:after="0" w:line="240" w:lineRule="auto"/>
              <w:jc w:val="left"/>
            </w:pPr>
            <w:r/>
            <w:r>
              <w:rPr>
                <w:rFonts w:ascii="Times New Roman" w:hAnsi="Times New Roman" w:eastAsia="宋体"/>
                <w:b w:val="0"/>
                <w:sz w:val="21"/>
              </w:rPr>
              <w:t>通过率最高学校</w:t>
            </w:r>
          </w:p>
        </w:tc>
        <w:tc>
          <w:tcPr>
            <w:tcW w:type="dxa" w:w="2551"/>
            <w:vAlign w:val="center"/>
            <w:tcMar>
              <w:top w:w="60" w:type="dxa"/>
              <w:start w:w="80" w:type="dxa"/>
              <w:bottom w:w="60" w:type="dxa"/>
              <w:end w:w="80" w:type="dxa"/>
            </w:tcMar>
          </w:tcPr>
          <w:p>
            <w:pPr>
              <w:spacing w:before="0" w:after="0" w:line="240" w:lineRule="auto"/>
              <w:jc w:val="center"/>
            </w:pPr>
            <w:r/>
            <w:r>
              <w:rPr>
                <w:rFonts w:ascii="Times New Roman" w:hAnsi="Times New Roman" w:eastAsia="宋体"/>
                <w:b w:val="0"/>
                <w:sz w:val="21"/>
              </w:rPr>
              <w:t>100.00%</w:t>
            </w:r>
          </w:p>
        </w:tc>
        <w:tc>
          <w:tcPr>
            <w:tcW w:type="dxa" w:w="2551"/>
            <w:vAlign w:val="center"/>
            <w:tcMar>
              <w:top w:w="60" w:type="dxa"/>
              <w:start w:w="80" w:type="dxa"/>
              <w:bottom w:w="60" w:type="dxa"/>
              <w:end w:w="80" w:type="dxa"/>
            </w:tcMar>
          </w:tcPr>
          <w:p>
            <w:pPr>
              <w:spacing w:before="0" w:after="0" w:line="240" w:lineRule="auto"/>
              <w:jc w:val="center"/>
            </w:pPr>
            <w:r/>
            <w:r>
              <w:rPr>
                <w:rFonts w:ascii="Times New Roman" w:hAnsi="Times New Roman" w:eastAsia="宋体"/>
                <w:b w:val="0"/>
                <w:sz w:val="21"/>
              </w:rPr>
              <w:t>437.83</w:t>
            </w:r>
          </w:p>
        </w:tc>
      </w:tr>
    </w:tbl>
    <w:p>
      <w:pPr>
        <w:spacing w:after="0"/>
      </w:pPr>
    </w:p>
    <w:p>
      <w:pPr>
        <w:spacing w:lineRule="exact" w:line="560" w:before="0" w:after="0"/>
        <w:ind w:firstLine="640"/>
        <w:jc w:val="both"/>
      </w:pPr>
      <w:r>
        <w:rPr>
          <w:rFonts w:ascii="Times New Roman" w:hAnsi="Times New Roman" w:eastAsia="仿宋_GB2312"/>
          <w:b w:val="0"/>
          <w:sz w:val="32"/>
        </w:rPr>
        <w:t>2025年本校医学综合考试通过率低于辖区内学校5.22个百分点，平均分低于辖区内学校11.90分；与“双一流”、原211、原985高校相比，差距进一步扩大。学校应将辖区内学校平均水平作为近期追赶目标，将高水平医学院校作为课程建设、考核评价和临床教学改革的重要参照。</w:t>
      </w:r>
    </w:p>
    <w:p>
      <w:pPr>
        <w:pStyle w:val="Heading2"/>
        <w:keepNext/>
        <w:spacing w:before="120" w:after="40" w:lineRule="exact" w:line="560"/>
        <w:jc w:val="left"/>
      </w:pPr>
      <w:r>
        <w:rPr>
          <w:rFonts w:ascii="Times New Roman" w:hAnsi="Times New Roman" w:eastAsia="黑体"/>
          <w:b/>
          <w:sz w:val="32"/>
        </w:rPr>
        <w:t>2.5 影响总通过率的主要环节</w:t>
      </w:r>
    </w:p>
    <w:p>
      <w:pPr>
        <w:spacing w:lineRule="exact" w:line="560" w:before="0" w:after="0"/>
        <w:ind w:firstLine="640"/>
        <w:jc w:val="both"/>
      </w:pPr>
      <w:r>
        <w:rPr>
          <w:rFonts w:ascii="Times New Roman" w:hAnsi="Times New Roman" w:eastAsia="仿宋_GB2312"/>
          <w:b w:val="0"/>
          <w:sz w:val="32"/>
        </w:rPr>
        <w:t>2023—2025年，三届全日制应届本科考生共有667人参加实践技能考试，605人通过实践技能考试，599人参加医学综合考试，473人最终通过医学综合考试。在194名未最终通过的考生中，62人未通过实践技能考试，6人通过实践技能考试后未参加医学综合考试，126人未通过医学综合考试。未最终通过者中约三分之二集中在医学综合考试环节，医学综合考试是当前提升总通过率的主要着力点。</w:t>
      </w:r>
    </w:p>
    <w:p>
      <w:pPr>
        <w:pStyle w:val="Heading1"/>
        <w:keepNext/>
        <w:spacing w:before="200" w:after="100" w:lineRule="exact" w:line="600"/>
        <w:jc w:val="left"/>
      </w:pPr>
      <w:r>
        <w:rPr>
          <w:rFonts w:ascii="Times New Roman" w:hAnsi="Times New Roman" w:eastAsia="黑体"/>
          <w:b/>
          <w:sz w:val="40"/>
        </w:rPr>
        <w:t>三、模块与专业知识点掌握情况</w:t>
      </w:r>
    </w:p>
    <w:p>
      <w:pPr>
        <w:pStyle w:val="Heading2"/>
        <w:keepNext/>
        <w:spacing w:before="120" w:after="40" w:lineRule="exact" w:line="560"/>
        <w:jc w:val="left"/>
      </w:pPr>
      <w:r>
        <w:rPr>
          <w:rFonts w:ascii="Times New Roman" w:hAnsi="Times New Roman" w:eastAsia="黑体"/>
          <w:b/>
          <w:sz w:val="32"/>
        </w:rPr>
        <w:t>3.1 各模块整体情况</w:t>
      </w:r>
    </w:p>
    <w:p>
      <w:pPr>
        <w:spacing w:before="120" w:after="80"/>
        <w:jc w:val="center"/>
      </w:pPr>
      <w:r>
        <w:rPr>
          <w:rFonts w:ascii="Times New Roman" w:hAnsi="Times New Roman" w:eastAsia="宋体"/>
          <w:b/>
          <w:sz w:val="24"/>
        </w:rPr>
        <w:t>表6  2023—2025年各模块掌握率及与全国差值</w:t>
      </w:r>
    </w:p>
    <w:tbl>
      <w:tblPr>
        <w:tblStyle w:val="TableGrid"/>
        <w:tblW w:type="dxa" w:w="9072"/>
        <w:jc w:val="center"/>
        <w:tblLayout w:type="autofit"/>
        <w:tblLook w:firstColumn="1" w:firstRow="1" w:lastColumn="0" w:lastRow="0" w:noHBand="0" w:noVBand="1" w:val="04A0"/>
      </w:tblPr>
      <w:tblGrid>
        <w:gridCol w:w="1264"/>
        <w:gridCol w:w="1264"/>
        <w:gridCol w:w="1264"/>
        <w:gridCol w:w="1264"/>
        <w:gridCol w:w="1264"/>
        <w:gridCol w:w="1264"/>
        <w:gridCol w:w="1264"/>
      </w:tblGrid>
      <w:tr>
        <w:trPr>
          <w:tblHeader w:val="true"/>
          <w:cantSplit/>
        </w:trPr>
        <w:tc>
          <w:tcPr>
            <w:tcW w:type="dxa" w:w="1474"/>
            <w:vAlign w:val="center"/>
            <w:shd w:fill="D9E2F3"/>
            <w:tcMar>
              <w:top w:w="60" w:type="dxa"/>
              <w:start w:w="80" w:type="dxa"/>
              <w:bottom w:w="60" w:type="dxa"/>
              <w:end w:w="80" w:type="dxa"/>
            </w:tcMar>
          </w:tcPr>
          <w:p>
            <w:pPr>
              <w:spacing w:before="0" w:after="0" w:line="240" w:lineRule="auto"/>
              <w:jc w:val="center"/>
            </w:pPr>
            <w:r/>
            <w:r>
              <w:rPr>
                <w:rFonts w:ascii="Times New Roman" w:hAnsi="Times New Roman" w:eastAsia="宋体"/>
                <w:b/>
                <w:sz w:val="19"/>
              </w:rPr>
              <w:t>模块</w:t>
            </w:r>
          </w:p>
        </w:tc>
        <w:tc>
          <w:tcPr>
            <w:tcW w:type="dxa" w:w="1191"/>
            <w:vAlign w:val="center"/>
            <w:shd w:fill="D9E2F3"/>
            <w:tcMar>
              <w:top w:w="60" w:type="dxa"/>
              <w:start w:w="80" w:type="dxa"/>
              <w:bottom w:w="60" w:type="dxa"/>
              <w:end w:w="80" w:type="dxa"/>
            </w:tcMar>
          </w:tcPr>
          <w:p>
            <w:pPr>
              <w:spacing w:before="0" w:after="0" w:line="240" w:lineRule="auto"/>
              <w:jc w:val="center"/>
            </w:pPr>
            <w:r/>
            <w:r>
              <w:rPr>
                <w:rFonts w:ascii="Times New Roman" w:hAnsi="Times New Roman" w:eastAsia="宋体"/>
                <w:b/>
                <w:sz w:val="19"/>
              </w:rPr>
              <w:t>2023年本校</w:t>
            </w:r>
          </w:p>
        </w:tc>
        <w:tc>
          <w:tcPr>
            <w:tcW w:type="dxa" w:w="1020"/>
            <w:vAlign w:val="center"/>
            <w:shd w:fill="D9E2F3"/>
            <w:tcMar>
              <w:top w:w="60" w:type="dxa"/>
              <w:start w:w="80" w:type="dxa"/>
              <w:bottom w:w="60" w:type="dxa"/>
              <w:end w:w="80" w:type="dxa"/>
            </w:tcMar>
          </w:tcPr>
          <w:p>
            <w:pPr>
              <w:spacing w:before="0" w:after="0" w:line="240" w:lineRule="auto"/>
              <w:jc w:val="center"/>
            </w:pPr>
            <w:r/>
            <w:r>
              <w:rPr>
                <w:rFonts w:ascii="Times New Roman" w:hAnsi="Times New Roman" w:eastAsia="宋体"/>
                <w:b/>
                <w:sz w:val="19"/>
              </w:rPr>
              <w:t>2023年差值</w:t>
            </w:r>
          </w:p>
        </w:tc>
        <w:tc>
          <w:tcPr>
            <w:tcW w:type="dxa" w:w="1191"/>
            <w:vAlign w:val="center"/>
            <w:shd w:fill="D9E2F3"/>
            <w:tcMar>
              <w:top w:w="60" w:type="dxa"/>
              <w:start w:w="80" w:type="dxa"/>
              <w:bottom w:w="60" w:type="dxa"/>
              <w:end w:w="80" w:type="dxa"/>
            </w:tcMar>
          </w:tcPr>
          <w:p>
            <w:pPr>
              <w:spacing w:before="0" w:after="0" w:line="240" w:lineRule="auto"/>
              <w:jc w:val="center"/>
            </w:pPr>
            <w:r/>
            <w:r>
              <w:rPr>
                <w:rFonts w:ascii="Times New Roman" w:hAnsi="Times New Roman" w:eastAsia="宋体"/>
                <w:b/>
                <w:sz w:val="19"/>
              </w:rPr>
              <w:t>2024年本校</w:t>
            </w:r>
          </w:p>
        </w:tc>
        <w:tc>
          <w:tcPr>
            <w:tcW w:type="dxa" w:w="1020"/>
            <w:vAlign w:val="center"/>
            <w:shd w:fill="D9E2F3"/>
            <w:tcMar>
              <w:top w:w="60" w:type="dxa"/>
              <w:start w:w="80" w:type="dxa"/>
              <w:bottom w:w="60" w:type="dxa"/>
              <w:end w:w="80" w:type="dxa"/>
            </w:tcMar>
          </w:tcPr>
          <w:p>
            <w:pPr>
              <w:spacing w:before="0" w:after="0" w:line="240" w:lineRule="auto"/>
              <w:jc w:val="center"/>
            </w:pPr>
            <w:r/>
            <w:r>
              <w:rPr>
                <w:rFonts w:ascii="Times New Roman" w:hAnsi="Times New Roman" w:eastAsia="宋体"/>
                <w:b/>
                <w:sz w:val="19"/>
              </w:rPr>
              <w:t>2024年差值</w:t>
            </w:r>
          </w:p>
        </w:tc>
        <w:tc>
          <w:tcPr>
            <w:tcW w:type="dxa" w:w="1191"/>
            <w:vAlign w:val="center"/>
            <w:shd w:fill="D9E2F3"/>
            <w:tcMar>
              <w:top w:w="60" w:type="dxa"/>
              <w:start w:w="80" w:type="dxa"/>
              <w:bottom w:w="60" w:type="dxa"/>
              <w:end w:w="80" w:type="dxa"/>
            </w:tcMar>
          </w:tcPr>
          <w:p>
            <w:pPr>
              <w:spacing w:before="0" w:after="0" w:line="240" w:lineRule="auto"/>
              <w:jc w:val="center"/>
            </w:pPr>
            <w:r/>
            <w:r>
              <w:rPr>
                <w:rFonts w:ascii="Times New Roman" w:hAnsi="Times New Roman" w:eastAsia="宋体"/>
                <w:b/>
                <w:sz w:val="19"/>
              </w:rPr>
              <w:t>2025年本校</w:t>
            </w:r>
          </w:p>
        </w:tc>
        <w:tc>
          <w:tcPr>
            <w:tcW w:type="dxa" w:w="1020"/>
            <w:vAlign w:val="center"/>
            <w:shd w:fill="D9E2F3"/>
            <w:tcMar>
              <w:top w:w="60" w:type="dxa"/>
              <w:start w:w="80" w:type="dxa"/>
              <w:bottom w:w="60" w:type="dxa"/>
              <w:end w:w="80" w:type="dxa"/>
            </w:tcMar>
          </w:tcPr>
          <w:p>
            <w:pPr>
              <w:spacing w:before="0" w:after="0" w:line="240" w:lineRule="auto"/>
              <w:jc w:val="center"/>
            </w:pPr>
            <w:r/>
            <w:r>
              <w:rPr>
                <w:rFonts w:ascii="Times New Roman" w:hAnsi="Times New Roman" w:eastAsia="宋体"/>
                <w:b/>
                <w:sz w:val="19"/>
              </w:rPr>
              <w:t>2025年差值</w:t>
            </w:r>
          </w:p>
        </w:tc>
      </w:tr>
      <w:tr>
        <w:trPr>
          <w:cantSplit/>
        </w:trPr>
        <w:tc>
          <w:tcPr>
            <w:tcW w:type="dxa" w:w="1474"/>
            <w:vAlign w:val="center"/>
            <w:tcMar>
              <w:top w:w="60" w:type="dxa"/>
              <w:start w:w="80" w:type="dxa"/>
              <w:bottom w:w="60" w:type="dxa"/>
              <w:end w:w="80" w:type="dxa"/>
            </w:tcMar>
          </w:tcPr>
          <w:p>
            <w:pPr>
              <w:spacing w:before="0" w:after="0" w:line="240" w:lineRule="auto"/>
              <w:jc w:val="center"/>
            </w:pPr>
            <w:r/>
            <w:r>
              <w:rPr>
                <w:rFonts w:ascii="Times New Roman" w:hAnsi="Times New Roman" w:eastAsia="宋体"/>
                <w:b w:val="0"/>
                <w:sz w:val="19"/>
              </w:rPr>
              <w:t>基础医学</w:t>
            </w:r>
          </w:p>
        </w:tc>
        <w:tc>
          <w:tcPr>
            <w:tcW w:type="dxa" w:w="1191"/>
            <w:vAlign w:val="center"/>
            <w:tcMar>
              <w:top w:w="60" w:type="dxa"/>
              <w:start w:w="80" w:type="dxa"/>
              <w:bottom w:w="60" w:type="dxa"/>
              <w:end w:w="80" w:type="dxa"/>
            </w:tcMar>
          </w:tcPr>
          <w:p>
            <w:pPr>
              <w:spacing w:before="0" w:after="0" w:line="240" w:lineRule="auto"/>
              <w:jc w:val="center"/>
            </w:pPr>
            <w:r/>
            <w:r>
              <w:rPr>
                <w:rFonts w:ascii="Times New Roman" w:hAnsi="Times New Roman" w:eastAsia="宋体"/>
                <w:b w:val="0"/>
                <w:sz w:val="19"/>
              </w:rPr>
              <w:t>57.72%</w:t>
            </w:r>
          </w:p>
        </w:tc>
        <w:tc>
          <w:tcPr>
            <w:tcW w:type="dxa" w:w="1020"/>
            <w:vAlign w:val="center"/>
            <w:tcMar>
              <w:top w:w="60" w:type="dxa"/>
              <w:start w:w="80" w:type="dxa"/>
              <w:bottom w:w="60" w:type="dxa"/>
              <w:end w:w="80" w:type="dxa"/>
            </w:tcMar>
          </w:tcPr>
          <w:p>
            <w:pPr>
              <w:spacing w:before="0" w:after="0" w:line="240" w:lineRule="auto"/>
              <w:jc w:val="center"/>
            </w:pPr>
            <w:r/>
            <w:r>
              <w:rPr>
                <w:rFonts w:ascii="Times New Roman" w:hAnsi="Times New Roman" w:eastAsia="宋体"/>
                <w:b w:val="0"/>
                <w:sz w:val="19"/>
              </w:rPr>
              <w:t>-1.16</w:t>
            </w:r>
          </w:p>
        </w:tc>
        <w:tc>
          <w:tcPr>
            <w:tcW w:type="dxa" w:w="1191"/>
            <w:vAlign w:val="center"/>
            <w:tcMar>
              <w:top w:w="60" w:type="dxa"/>
              <w:start w:w="80" w:type="dxa"/>
              <w:bottom w:w="60" w:type="dxa"/>
              <w:end w:w="80" w:type="dxa"/>
            </w:tcMar>
          </w:tcPr>
          <w:p>
            <w:pPr>
              <w:spacing w:before="0" w:after="0" w:line="240" w:lineRule="auto"/>
              <w:jc w:val="center"/>
            </w:pPr>
            <w:r/>
            <w:r>
              <w:rPr>
                <w:rFonts w:ascii="Times New Roman" w:hAnsi="Times New Roman" w:eastAsia="宋体"/>
                <w:b w:val="0"/>
                <w:sz w:val="19"/>
              </w:rPr>
              <w:t>58.71%</w:t>
            </w:r>
          </w:p>
        </w:tc>
        <w:tc>
          <w:tcPr>
            <w:tcW w:type="dxa" w:w="1020"/>
            <w:vAlign w:val="center"/>
            <w:tcMar>
              <w:top w:w="60" w:type="dxa"/>
              <w:start w:w="80" w:type="dxa"/>
              <w:bottom w:w="60" w:type="dxa"/>
              <w:end w:w="80" w:type="dxa"/>
            </w:tcMar>
          </w:tcPr>
          <w:p>
            <w:pPr>
              <w:spacing w:before="0" w:after="0" w:line="240" w:lineRule="auto"/>
              <w:jc w:val="center"/>
            </w:pPr>
            <w:r/>
            <w:r>
              <w:rPr>
                <w:rFonts w:ascii="Times New Roman" w:hAnsi="Times New Roman" w:eastAsia="宋体"/>
                <w:b w:val="0"/>
                <w:sz w:val="19"/>
              </w:rPr>
              <w:t>-1.05</w:t>
            </w:r>
          </w:p>
        </w:tc>
        <w:tc>
          <w:tcPr>
            <w:tcW w:type="dxa" w:w="1191"/>
            <w:vAlign w:val="center"/>
            <w:tcMar>
              <w:top w:w="60" w:type="dxa"/>
              <w:start w:w="80" w:type="dxa"/>
              <w:bottom w:w="60" w:type="dxa"/>
              <w:end w:w="80" w:type="dxa"/>
            </w:tcMar>
          </w:tcPr>
          <w:p>
            <w:pPr>
              <w:spacing w:before="0" w:after="0" w:line="240" w:lineRule="auto"/>
              <w:jc w:val="center"/>
            </w:pPr>
            <w:r/>
            <w:r>
              <w:rPr>
                <w:rFonts w:ascii="Times New Roman" w:hAnsi="Times New Roman" w:eastAsia="宋体"/>
                <w:b w:val="0"/>
                <w:sz w:val="19"/>
              </w:rPr>
              <w:t>60.85%</w:t>
            </w:r>
          </w:p>
        </w:tc>
        <w:tc>
          <w:tcPr>
            <w:tcW w:type="dxa" w:w="1020"/>
            <w:vAlign w:val="center"/>
            <w:tcMar>
              <w:top w:w="60" w:type="dxa"/>
              <w:start w:w="80" w:type="dxa"/>
              <w:bottom w:w="60" w:type="dxa"/>
              <w:end w:w="80" w:type="dxa"/>
            </w:tcMar>
          </w:tcPr>
          <w:p>
            <w:pPr>
              <w:spacing w:before="0" w:after="0" w:line="240" w:lineRule="auto"/>
              <w:jc w:val="center"/>
            </w:pPr>
            <w:r/>
            <w:r>
              <w:rPr>
                <w:rFonts w:ascii="Times New Roman" w:hAnsi="Times New Roman" w:eastAsia="宋体"/>
                <w:b w:val="0"/>
                <w:sz w:val="19"/>
              </w:rPr>
              <w:t>-2.21</w:t>
            </w:r>
          </w:p>
        </w:tc>
      </w:tr>
      <w:tr>
        <w:trPr>
          <w:cantSplit/>
        </w:trPr>
        <w:tc>
          <w:tcPr>
            <w:tcW w:type="dxa" w:w="1474"/>
            <w:vAlign w:val="center"/>
            <w:tcMar>
              <w:top w:w="60" w:type="dxa"/>
              <w:start w:w="80" w:type="dxa"/>
              <w:bottom w:w="60" w:type="dxa"/>
              <w:end w:w="80" w:type="dxa"/>
            </w:tcMar>
          </w:tcPr>
          <w:p>
            <w:pPr>
              <w:spacing w:before="0" w:after="0" w:line="240" w:lineRule="auto"/>
              <w:jc w:val="center"/>
            </w:pPr>
            <w:r/>
            <w:r>
              <w:rPr>
                <w:rFonts w:ascii="Times New Roman" w:hAnsi="Times New Roman" w:eastAsia="宋体"/>
                <w:b w:val="0"/>
                <w:sz w:val="19"/>
              </w:rPr>
              <w:t>医学人文</w:t>
            </w:r>
          </w:p>
        </w:tc>
        <w:tc>
          <w:tcPr>
            <w:tcW w:type="dxa" w:w="1191"/>
            <w:vAlign w:val="center"/>
            <w:tcMar>
              <w:top w:w="60" w:type="dxa"/>
              <w:start w:w="80" w:type="dxa"/>
              <w:bottom w:w="60" w:type="dxa"/>
              <w:end w:w="80" w:type="dxa"/>
            </w:tcMar>
          </w:tcPr>
          <w:p>
            <w:pPr>
              <w:spacing w:before="0" w:after="0" w:line="240" w:lineRule="auto"/>
              <w:jc w:val="center"/>
            </w:pPr>
            <w:r/>
            <w:r>
              <w:rPr>
                <w:rFonts w:ascii="Times New Roman" w:hAnsi="Times New Roman" w:eastAsia="宋体"/>
                <w:b w:val="0"/>
                <w:sz w:val="19"/>
              </w:rPr>
              <w:t>65.50%</w:t>
            </w:r>
          </w:p>
        </w:tc>
        <w:tc>
          <w:tcPr>
            <w:tcW w:type="dxa" w:w="1020"/>
            <w:vAlign w:val="center"/>
            <w:tcMar>
              <w:top w:w="60" w:type="dxa"/>
              <w:start w:w="80" w:type="dxa"/>
              <w:bottom w:w="60" w:type="dxa"/>
              <w:end w:w="80" w:type="dxa"/>
            </w:tcMar>
          </w:tcPr>
          <w:p>
            <w:pPr>
              <w:spacing w:before="0" w:after="0" w:line="240" w:lineRule="auto"/>
              <w:jc w:val="center"/>
            </w:pPr>
            <w:r/>
            <w:r>
              <w:rPr>
                <w:rFonts w:ascii="Times New Roman" w:hAnsi="Times New Roman" w:eastAsia="宋体"/>
                <w:b w:val="0"/>
                <w:sz w:val="19"/>
              </w:rPr>
              <w:t>-1.96</w:t>
            </w:r>
          </w:p>
        </w:tc>
        <w:tc>
          <w:tcPr>
            <w:tcW w:type="dxa" w:w="1191"/>
            <w:vAlign w:val="center"/>
            <w:tcMar>
              <w:top w:w="60" w:type="dxa"/>
              <w:start w:w="80" w:type="dxa"/>
              <w:bottom w:w="60" w:type="dxa"/>
              <w:end w:w="80" w:type="dxa"/>
            </w:tcMar>
          </w:tcPr>
          <w:p>
            <w:pPr>
              <w:spacing w:before="0" w:after="0" w:line="240" w:lineRule="auto"/>
              <w:jc w:val="center"/>
            </w:pPr>
            <w:r/>
            <w:r>
              <w:rPr>
                <w:rFonts w:ascii="Times New Roman" w:hAnsi="Times New Roman" w:eastAsia="宋体"/>
                <w:b w:val="0"/>
                <w:sz w:val="19"/>
              </w:rPr>
              <w:t>58.72%</w:t>
            </w:r>
          </w:p>
        </w:tc>
        <w:tc>
          <w:tcPr>
            <w:tcW w:type="dxa" w:w="1020"/>
            <w:vAlign w:val="center"/>
            <w:tcMar>
              <w:top w:w="60" w:type="dxa"/>
              <w:start w:w="80" w:type="dxa"/>
              <w:bottom w:w="60" w:type="dxa"/>
              <w:end w:w="80" w:type="dxa"/>
            </w:tcMar>
          </w:tcPr>
          <w:p>
            <w:pPr>
              <w:spacing w:before="0" w:after="0" w:line="240" w:lineRule="auto"/>
              <w:jc w:val="center"/>
            </w:pPr>
            <w:r/>
            <w:r>
              <w:rPr>
                <w:rFonts w:ascii="Times New Roman" w:hAnsi="Times New Roman" w:eastAsia="宋体"/>
                <w:b w:val="0"/>
                <w:sz w:val="19"/>
              </w:rPr>
              <w:t>-0.70</w:t>
            </w:r>
          </w:p>
        </w:tc>
        <w:tc>
          <w:tcPr>
            <w:tcW w:type="dxa" w:w="1191"/>
            <w:vAlign w:val="center"/>
            <w:tcMar>
              <w:top w:w="60" w:type="dxa"/>
              <w:start w:w="80" w:type="dxa"/>
              <w:bottom w:w="60" w:type="dxa"/>
              <w:end w:w="80" w:type="dxa"/>
            </w:tcMar>
          </w:tcPr>
          <w:p>
            <w:pPr>
              <w:spacing w:before="0" w:after="0" w:line="240" w:lineRule="auto"/>
              <w:jc w:val="center"/>
            </w:pPr>
            <w:r/>
            <w:r>
              <w:rPr>
                <w:rFonts w:ascii="Times New Roman" w:hAnsi="Times New Roman" w:eastAsia="宋体"/>
                <w:b w:val="0"/>
                <w:sz w:val="19"/>
              </w:rPr>
              <w:t>66.26%</w:t>
            </w:r>
          </w:p>
        </w:tc>
        <w:tc>
          <w:tcPr>
            <w:tcW w:type="dxa" w:w="1020"/>
            <w:vAlign w:val="center"/>
            <w:tcMar>
              <w:top w:w="60" w:type="dxa"/>
              <w:start w:w="80" w:type="dxa"/>
              <w:bottom w:w="60" w:type="dxa"/>
              <w:end w:w="80" w:type="dxa"/>
            </w:tcMar>
          </w:tcPr>
          <w:p>
            <w:pPr>
              <w:spacing w:before="0" w:after="0" w:line="240" w:lineRule="auto"/>
              <w:jc w:val="center"/>
            </w:pPr>
            <w:r/>
            <w:r>
              <w:rPr>
                <w:rFonts w:ascii="Times New Roman" w:hAnsi="Times New Roman" w:eastAsia="宋体"/>
                <w:b w:val="0"/>
                <w:sz w:val="19"/>
              </w:rPr>
              <w:t>-1.47</w:t>
            </w:r>
          </w:p>
        </w:tc>
      </w:tr>
      <w:tr>
        <w:trPr>
          <w:cantSplit/>
        </w:trPr>
        <w:tc>
          <w:tcPr>
            <w:tcW w:type="dxa" w:w="1474"/>
            <w:vAlign w:val="center"/>
            <w:tcMar>
              <w:top w:w="60" w:type="dxa"/>
              <w:start w:w="80" w:type="dxa"/>
              <w:bottom w:w="60" w:type="dxa"/>
              <w:end w:w="80" w:type="dxa"/>
            </w:tcMar>
          </w:tcPr>
          <w:p>
            <w:pPr>
              <w:spacing w:before="0" w:after="0" w:line="240" w:lineRule="auto"/>
              <w:jc w:val="center"/>
            </w:pPr>
            <w:r/>
            <w:r>
              <w:rPr>
                <w:rFonts w:ascii="Times New Roman" w:hAnsi="Times New Roman" w:eastAsia="宋体"/>
                <w:b w:val="0"/>
                <w:sz w:val="19"/>
              </w:rPr>
              <w:t>临床医学</w:t>
            </w:r>
          </w:p>
        </w:tc>
        <w:tc>
          <w:tcPr>
            <w:tcW w:type="dxa" w:w="1191"/>
            <w:vAlign w:val="center"/>
            <w:tcMar>
              <w:top w:w="60" w:type="dxa"/>
              <w:start w:w="80" w:type="dxa"/>
              <w:bottom w:w="60" w:type="dxa"/>
              <w:end w:w="80" w:type="dxa"/>
            </w:tcMar>
          </w:tcPr>
          <w:p>
            <w:pPr>
              <w:spacing w:before="0" w:after="0" w:line="240" w:lineRule="auto"/>
              <w:jc w:val="center"/>
            </w:pPr>
            <w:r/>
            <w:r>
              <w:rPr>
                <w:rFonts w:ascii="Times New Roman" w:hAnsi="Times New Roman" w:eastAsia="宋体"/>
                <w:b w:val="0"/>
                <w:sz w:val="19"/>
              </w:rPr>
              <w:t>64.00%</w:t>
            </w:r>
          </w:p>
        </w:tc>
        <w:tc>
          <w:tcPr>
            <w:tcW w:type="dxa" w:w="1020"/>
            <w:vAlign w:val="center"/>
            <w:tcMar>
              <w:top w:w="60" w:type="dxa"/>
              <w:start w:w="80" w:type="dxa"/>
              <w:bottom w:w="60" w:type="dxa"/>
              <w:end w:w="80" w:type="dxa"/>
            </w:tcMar>
          </w:tcPr>
          <w:p>
            <w:pPr>
              <w:spacing w:before="0" w:after="0" w:line="240" w:lineRule="auto"/>
              <w:jc w:val="center"/>
            </w:pPr>
            <w:r/>
            <w:r>
              <w:rPr>
                <w:rFonts w:ascii="Times New Roman" w:hAnsi="Times New Roman" w:eastAsia="宋体"/>
                <w:b w:val="0"/>
                <w:sz w:val="19"/>
              </w:rPr>
              <w:t>-0.76</w:t>
            </w:r>
          </w:p>
        </w:tc>
        <w:tc>
          <w:tcPr>
            <w:tcW w:type="dxa" w:w="1191"/>
            <w:vAlign w:val="center"/>
            <w:tcMar>
              <w:top w:w="60" w:type="dxa"/>
              <w:start w:w="80" w:type="dxa"/>
              <w:bottom w:w="60" w:type="dxa"/>
              <w:end w:w="80" w:type="dxa"/>
            </w:tcMar>
          </w:tcPr>
          <w:p>
            <w:pPr>
              <w:spacing w:before="0" w:after="0" w:line="240" w:lineRule="auto"/>
              <w:jc w:val="center"/>
            </w:pPr>
            <w:r/>
            <w:r>
              <w:rPr>
                <w:rFonts w:ascii="Times New Roman" w:hAnsi="Times New Roman" w:eastAsia="宋体"/>
                <w:b w:val="0"/>
                <w:sz w:val="19"/>
              </w:rPr>
              <w:t>71.03%</w:t>
            </w:r>
          </w:p>
        </w:tc>
        <w:tc>
          <w:tcPr>
            <w:tcW w:type="dxa" w:w="1020"/>
            <w:vAlign w:val="center"/>
            <w:tcMar>
              <w:top w:w="60" w:type="dxa"/>
              <w:start w:w="80" w:type="dxa"/>
              <w:bottom w:w="60" w:type="dxa"/>
              <w:end w:w="80" w:type="dxa"/>
            </w:tcMar>
          </w:tcPr>
          <w:p>
            <w:pPr>
              <w:spacing w:before="0" w:after="0" w:line="240" w:lineRule="auto"/>
              <w:jc w:val="center"/>
            </w:pPr>
            <w:r/>
            <w:r>
              <w:rPr>
                <w:rFonts w:ascii="Times New Roman" w:hAnsi="Times New Roman" w:eastAsia="宋体"/>
                <w:b w:val="0"/>
                <w:sz w:val="19"/>
              </w:rPr>
              <w:t>-0.05</w:t>
            </w:r>
          </w:p>
        </w:tc>
        <w:tc>
          <w:tcPr>
            <w:tcW w:type="dxa" w:w="1191"/>
            <w:vAlign w:val="center"/>
            <w:tcMar>
              <w:top w:w="60" w:type="dxa"/>
              <w:start w:w="80" w:type="dxa"/>
              <w:bottom w:w="60" w:type="dxa"/>
              <w:end w:w="80" w:type="dxa"/>
            </w:tcMar>
          </w:tcPr>
          <w:p>
            <w:pPr>
              <w:spacing w:before="0" w:after="0" w:line="240" w:lineRule="auto"/>
              <w:jc w:val="center"/>
            </w:pPr>
            <w:r/>
            <w:r>
              <w:rPr>
                <w:rFonts w:ascii="Times New Roman" w:hAnsi="Times New Roman" w:eastAsia="宋体"/>
                <w:b w:val="0"/>
                <w:sz w:val="19"/>
              </w:rPr>
              <w:t>67.52%</w:t>
            </w:r>
          </w:p>
        </w:tc>
        <w:tc>
          <w:tcPr>
            <w:tcW w:type="dxa" w:w="1020"/>
            <w:vAlign w:val="center"/>
            <w:tcMar>
              <w:top w:w="60" w:type="dxa"/>
              <w:start w:w="80" w:type="dxa"/>
              <w:bottom w:w="60" w:type="dxa"/>
              <w:end w:w="80" w:type="dxa"/>
            </w:tcMar>
          </w:tcPr>
          <w:p>
            <w:pPr>
              <w:spacing w:before="0" w:after="0" w:line="240" w:lineRule="auto"/>
              <w:jc w:val="center"/>
            </w:pPr>
            <w:r/>
            <w:r>
              <w:rPr>
                <w:rFonts w:ascii="Times New Roman" w:hAnsi="Times New Roman" w:eastAsia="宋体"/>
                <w:b w:val="0"/>
                <w:sz w:val="19"/>
              </w:rPr>
              <w:t>-1.38</w:t>
            </w:r>
          </w:p>
        </w:tc>
      </w:tr>
      <w:tr>
        <w:trPr>
          <w:cantSplit/>
        </w:trPr>
        <w:tc>
          <w:tcPr>
            <w:tcW w:type="dxa" w:w="1474"/>
            <w:vAlign w:val="center"/>
            <w:tcMar>
              <w:top w:w="60" w:type="dxa"/>
              <w:start w:w="80" w:type="dxa"/>
              <w:bottom w:w="60" w:type="dxa"/>
              <w:end w:w="80" w:type="dxa"/>
            </w:tcMar>
          </w:tcPr>
          <w:p>
            <w:pPr>
              <w:spacing w:before="0" w:after="0" w:line="240" w:lineRule="auto"/>
              <w:jc w:val="center"/>
            </w:pPr>
            <w:r/>
            <w:r>
              <w:rPr>
                <w:rFonts w:ascii="Times New Roman" w:hAnsi="Times New Roman" w:eastAsia="宋体"/>
                <w:b w:val="0"/>
                <w:sz w:val="19"/>
              </w:rPr>
              <w:t>预防医学</w:t>
            </w:r>
          </w:p>
        </w:tc>
        <w:tc>
          <w:tcPr>
            <w:tcW w:type="dxa" w:w="1191"/>
            <w:vAlign w:val="center"/>
            <w:tcMar>
              <w:top w:w="60" w:type="dxa"/>
              <w:start w:w="80" w:type="dxa"/>
              <w:bottom w:w="60" w:type="dxa"/>
              <w:end w:w="80" w:type="dxa"/>
            </w:tcMar>
          </w:tcPr>
          <w:p>
            <w:pPr>
              <w:spacing w:before="0" w:after="0" w:line="240" w:lineRule="auto"/>
              <w:jc w:val="center"/>
            </w:pPr>
            <w:r/>
            <w:r>
              <w:rPr>
                <w:rFonts w:ascii="Times New Roman" w:hAnsi="Times New Roman" w:eastAsia="宋体"/>
                <w:b w:val="0"/>
                <w:sz w:val="19"/>
              </w:rPr>
              <w:t>63.39%</w:t>
            </w:r>
          </w:p>
        </w:tc>
        <w:tc>
          <w:tcPr>
            <w:tcW w:type="dxa" w:w="1020"/>
            <w:vAlign w:val="center"/>
            <w:tcMar>
              <w:top w:w="60" w:type="dxa"/>
              <w:start w:w="80" w:type="dxa"/>
              <w:bottom w:w="60" w:type="dxa"/>
              <w:end w:w="80" w:type="dxa"/>
            </w:tcMar>
          </w:tcPr>
          <w:p>
            <w:pPr>
              <w:spacing w:before="0" w:after="0" w:line="240" w:lineRule="auto"/>
              <w:jc w:val="center"/>
            </w:pPr>
            <w:r/>
            <w:r>
              <w:rPr>
                <w:rFonts w:ascii="Times New Roman" w:hAnsi="Times New Roman" w:eastAsia="宋体"/>
                <w:b w:val="0"/>
                <w:sz w:val="19"/>
              </w:rPr>
              <w:t>-2.19</w:t>
            </w:r>
          </w:p>
        </w:tc>
        <w:tc>
          <w:tcPr>
            <w:tcW w:type="dxa" w:w="1191"/>
            <w:vAlign w:val="center"/>
            <w:tcMar>
              <w:top w:w="60" w:type="dxa"/>
              <w:start w:w="80" w:type="dxa"/>
              <w:bottom w:w="60" w:type="dxa"/>
              <w:end w:w="80" w:type="dxa"/>
            </w:tcMar>
          </w:tcPr>
          <w:p>
            <w:pPr>
              <w:spacing w:before="0" w:after="0" w:line="240" w:lineRule="auto"/>
              <w:jc w:val="center"/>
            </w:pPr>
            <w:r/>
            <w:r>
              <w:rPr>
                <w:rFonts w:ascii="Times New Roman" w:hAnsi="Times New Roman" w:eastAsia="宋体"/>
                <w:b w:val="0"/>
                <w:sz w:val="19"/>
              </w:rPr>
              <w:t>61.04%</w:t>
            </w:r>
          </w:p>
        </w:tc>
        <w:tc>
          <w:tcPr>
            <w:tcW w:type="dxa" w:w="1020"/>
            <w:vAlign w:val="center"/>
            <w:tcMar>
              <w:top w:w="60" w:type="dxa"/>
              <w:start w:w="80" w:type="dxa"/>
              <w:bottom w:w="60" w:type="dxa"/>
              <w:end w:w="80" w:type="dxa"/>
            </w:tcMar>
          </w:tcPr>
          <w:p>
            <w:pPr>
              <w:spacing w:before="0" w:after="0" w:line="240" w:lineRule="auto"/>
              <w:jc w:val="center"/>
            </w:pPr>
            <w:r/>
            <w:r>
              <w:rPr>
                <w:rFonts w:ascii="Times New Roman" w:hAnsi="Times New Roman" w:eastAsia="宋体"/>
                <w:b w:val="0"/>
                <w:sz w:val="19"/>
              </w:rPr>
              <w:t>-2.35</w:t>
            </w:r>
          </w:p>
        </w:tc>
        <w:tc>
          <w:tcPr>
            <w:tcW w:type="dxa" w:w="1191"/>
            <w:vAlign w:val="center"/>
            <w:tcMar>
              <w:top w:w="60" w:type="dxa"/>
              <w:start w:w="80" w:type="dxa"/>
              <w:bottom w:w="60" w:type="dxa"/>
              <w:end w:w="80" w:type="dxa"/>
            </w:tcMar>
          </w:tcPr>
          <w:p>
            <w:pPr>
              <w:spacing w:before="0" w:after="0" w:line="240" w:lineRule="auto"/>
              <w:jc w:val="center"/>
            </w:pPr>
            <w:r/>
            <w:r>
              <w:rPr>
                <w:rFonts w:ascii="Times New Roman" w:hAnsi="Times New Roman" w:eastAsia="宋体"/>
                <w:b w:val="0"/>
                <w:sz w:val="19"/>
              </w:rPr>
              <w:t>61.09%</w:t>
            </w:r>
          </w:p>
        </w:tc>
        <w:tc>
          <w:tcPr>
            <w:tcW w:type="dxa" w:w="1020"/>
            <w:vAlign w:val="center"/>
            <w:tcMar>
              <w:top w:w="60" w:type="dxa"/>
              <w:start w:w="80" w:type="dxa"/>
              <w:bottom w:w="60" w:type="dxa"/>
              <w:end w:w="80" w:type="dxa"/>
            </w:tcMar>
          </w:tcPr>
          <w:p>
            <w:pPr>
              <w:spacing w:before="0" w:after="0" w:line="240" w:lineRule="auto"/>
              <w:jc w:val="center"/>
            </w:pPr>
            <w:r/>
            <w:r>
              <w:rPr>
                <w:rFonts w:ascii="Times New Roman" w:hAnsi="Times New Roman" w:eastAsia="宋体"/>
                <w:b w:val="0"/>
                <w:sz w:val="19"/>
              </w:rPr>
              <w:t>-1.89</w:t>
            </w:r>
          </w:p>
        </w:tc>
      </w:tr>
      <w:tr>
        <w:trPr>
          <w:cantSplit/>
        </w:trPr>
        <w:tc>
          <w:tcPr>
            <w:tcW w:type="dxa" w:w="1474"/>
            <w:vAlign w:val="center"/>
            <w:tcMar>
              <w:top w:w="60" w:type="dxa"/>
              <w:start w:w="80" w:type="dxa"/>
              <w:bottom w:w="60" w:type="dxa"/>
              <w:end w:w="80" w:type="dxa"/>
            </w:tcMar>
          </w:tcPr>
          <w:p>
            <w:pPr>
              <w:spacing w:before="0" w:after="0" w:line="240" w:lineRule="auto"/>
              <w:jc w:val="center"/>
            </w:pPr>
            <w:r/>
            <w:r>
              <w:rPr>
                <w:rFonts w:ascii="Times New Roman" w:hAnsi="Times New Roman" w:eastAsia="宋体"/>
                <w:b w:val="0"/>
                <w:sz w:val="19"/>
              </w:rPr>
              <w:t>中医学基础</w:t>
            </w:r>
          </w:p>
        </w:tc>
        <w:tc>
          <w:tcPr>
            <w:tcW w:type="dxa" w:w="1191"/>
            <w:vAlign w:val="center"/>
            <w:tcMar>
              <w:top w:w="60" w:type="dxa"/>
              <w:start w:w="80" w:type="dxa"/>
              <w:bottom w:w="60" w:type="dxa"/>
              <w:end w:w="80" w:type="dxa"/>
            </w:tcMar>
          </w:tcPr>
          <w:p>
            <w:pPr>
              <w:spacing w:before="0" w:after="0" w:line="240" w:lineRule="auto"/>
              <w:jc w:val="center"/>
            </w:pPr>
            <w:r/>
            <w:r>
              <w:rPr>
                <w:rFonts w:ascii="Times New Roman" w:hAnsi="Times New Roman" w:eastAsia="宋体"/>
                <w:b w:val="0"/>
                <w:sz w:val="19"/>
              </w:rPr>
              <w:t>—</w:t>
            </w:r>
          </w:p>
        </w:tc>
        <w:tc>
          <w:tcPr>
            <w:tcW w:type="dxa" w:w="1020"/>
            <w:vAlign w:val="center"/>
            <w:tcMar>
              <w:top w:w="60" w:type="dxa"/>
              <w:start w:w="80" w:type="dxa"/>
              <w:bottom w:w="60" w:type="dxa"/>
              <w:end w:w="80" w:type="dxa"/>
            </w:tcMar>
          </w:tcPr>
          <w:p>
            <w:pPr>
              <w:spacing w:before="0" w:after="0" w:line="240" w:lineRule="auto"/>
              <w:jc w:val="center"/>
            </w:pPr>
            <w:r/>
            <w:r>
              <w:rPr>
                <w:rFonts w:ascii="Times New Roman" w:hAnsi="Times New Roman" w:eastAsia="宋体"/>
                <w:b w:val="0"/>
                <w:sz w:val="19"/>
              </w:rPr>
              <w:t>—</w:t>
            </w:r>
          </w:p>
        </w:tc>
        <w:tc>
          <w:tcPr>
            <w:tcW w:type="dxa" w:w="1191"/>
            <w:vAlign w:val="center"/>
            <w:tcMar>
              <w:top w:w="60" w:type="dxa"/>
              <w:start w:w="80" w:type="dxa"/>
              <w:bottom w:w="60" w:type="dxa"/>
              <w:end w:w="80" w:type="dxa"/>
            </w:tcMar>
          </w:tcPr>
          <w:p>
            <w:pPr>
              <w:spacing w:before="0" w:after="0" w:line="240" w:lineRule="auto"/>
              <w:jc w:val="center"/>
            </w:pPr>
            <w:r/>
            <w:r>
              <w:rPr>
                <w:rFonts w:ascii="Times New Roman" w:hAnsi="Times New Roman" w:eastAsia="宋体"/>
                <w:b w:val="0"/>
                <w:sz w:val="19"/>
              </w:rPr>
              <w:t>63.54%</w:t>
            </w:r>
          </w:p>
        </w:tc>
        <w:tc>
          <w:tcPr>
            <w:tcW w:type="dxa" w:w="1020"/>
            <w:vAlign w:val="center"/>
            <w:tcMar>
              <w:top w:w="60" w:type="dxa"/>
              <w:start w:w="80" w:type="dxa"/>
              <w:bottom w:w="60" w:type="dxa"/>
              <w:end w:w="80" w:type="dxa"/>
            </w:tcMar>
          </w:tcPr>
          <w:p>
            <w:pPr>
              <w:spacing w:before="0" w:after="0" w:line="240" w:lineRule="auto"/>
              <w:jc w:val="center"/>
            </w:pPr>
            <w:r/>
            <w:r>
              <w:rPr>
                <w:rFonts w:ascii="Times New Roman" w:hAnsi="Times New Roman" w:eastAsia="宋体"/>
                <w:b w:val="0"/>
                <w:sz w:val="19"/>
              </w:rPr>
              <w:t>-3.64</w:t>
            </w:r>
          </w:p>
        </w:tc>
        <w:tc>
          <w:tcPr>
            <w:tcW w:type="dxa" w:w="1191"/>
            <w:vAlign w:val="center"/>
            <w:tcMar>
              <w:top w:w="60" w:type="dxa"/>
              <w:start w:w="80" w:type="dxa"/>
              <w:bottom w:w="60" w:type="dxa"/>
              <w:end w:w="80" w:type="dxa"/>
            </w:tcMar>
          </w:tcPr>
          <w:p>
            <w:pPr>
              <w:spacing w:before="0" w:after="0" w:line="240" w:lineRule="auto"/>
              <w:jc w:val="center"/>
            </w:pPr>
            <w:r/>
            <w:r>
              <w:rPr>
                <w:rFonts w:ascii="Times New Roman" w:hAnsi="Times New Roman" w:eastAsia="宋体"/>
                <w:b w:val="0"/>
                <w:sz w:val="19"/>
              </w:rPr>
              <w:t>55.28%</w:t>
            </w:r>
          </w:p>
        </w:tc>
        <w:tc>
          <w:tcPr>
            <w:tcW w:type="dxa" w:w="1020"/>
            <w:vAlign w:val="center"/>
            <w:tcMar>
              <w:top w:w="60" w:type="dxa"/>
              <w:start w:w="80" w:type="dxa"/>
              <w:bottom w:w="60" w:type="dxa"/>
              <w:end w:w="80" w:type="dxa"/>
            </w:tcMar>
          </w:tcPr>
          <w:p>
            <w:pPr>
              <w:spacing w:before="0" w:after="0" w:line="240" w:lineRule="auto"/>
              <w:jc w:val="center"/>
            </w:pPr>
            <w:r/>
            <w:r>
              <w:rPr>
                <w:rFonts w:ascii="Times New Roman" w:hAnsi="Times New Roman" w:eastAsia="宋体"/>
                <w:b w:val="0"/>
                <w:sz w:val="19"/>
              </w:rPr>
              <w:t>-0.55</w:t>
            </w:r>
          </w:p>
        </w:tc>
      </w:tr>
    </w:tbl>
    <w:p>
      <w:pPr>
        <w:spacing w:after="0"/>
      </w:pPr>
    </w:p>
    <w:p>
      <w:pPr>
        <w:spacing w:before="0" w:after="80"/>
      </w:pPr>
      <w:r>
        <w:rPr>
          <w:rFonts w:ascii="Times New Roman" w:hAnsi="Times New Roman" w:eastAsia="宋体"/>
          <w:sz w:val="19"/>
        </w:rPr>
        <w:t>注：差值为本校掌握率减全国掌握率，单位为百分点。2023年考试未设置中医学基础模块。</w:t>
      </w:r>
    </w:p>
    <w:p>
      <w:pPr>
        <w:spacing w:lineRule="exact" w:line="560" w:before="0" w:after="0"/>
        <w:ind w:firstLine="640"/>
        <w:jc w:val="both"/>
      </w:pPr>
      <w:r>
        <w:rPr>
          <w:rFonts w:ascii="Times New Roman" w:hAnsi="Times New Roman" w:eastAsia="仿宋_GB2312"/>
          <w:b w:val="0"/>
          <w:sz w:val="32"/>
        </w:rPr>
        <w:t>2023年四个模块、2024年和2025年五个模块的本校掌握率均低于同期全国平均水平。临床医学模块相对表现较好，2024年与全国仅相差0.05个百分点，2025年差距扩大至1.38个百分点。基础医学和预防医学连续三年低于全国平均水平，是需要持续加强的两个模块。医学人文模块年度波动较大，应结合课程考核和年度试题结构开展专题分析。</w:t>
      </w:r>
    </w:p>
    <w:p>
      <w:pPr>
        <w:pStyle w:val="Heading2"/>
        <w:keepNext/>
        <w:spacing w:before="120" w:after="40" w:lineRule="exact" w:line="560"/>
        <w:jc w:val="left"/>
      </w:pPr>
      <w:r>
        <w:rPr>
          <w:rFonts w:ascii="Times New Roman" w:hAnsi="Times New Roman" w:eastAsia="黑体"/>
          <w:b/>
          <w:sz w:val="32"/>
        </w:rPr>
        <w:t>3.2 基础医学模块</w:t>
      </w:r>
    </w:p>
    <w:p>
      <w:pPr>
        <w:spacing w:before="120" w:after="80"/>
        <w:jc w:val="center"/>
      </w:pPr>
      <w:r>
        <w:rPr>
          <w:rFonts w:ascii="Times New Roman" w:hAnsi="Times New Roman" w:eastAsia="宋体"/>
          <w:b/>
          <w:sz w:val="24"/>
        </w:rPr>
        <w:t>表7  基础医学各学科或专业知识点掌握率及与全国差值</w:t>
      </w:r>
    </w:p>
    <w:tbl>
      <w:tblPr>
        <w:tblStyle w:val="TableGrid"/>
        <w:tblW w:type="dxa" w:w="9072"/>
        <w:jc w:val="center"/>
        <w:tblLayout w:type="autofit"/>
        <w:tblLook w:firstColumn="1" w:firstRow="1" w:lastColumn="0" w:lastRow="0" w:noHBand="0" w:noVBand="1" w:val="04A0"/>
      </w:tblPr>
      <w:tblGrid>
        <w:gridCol w:w="1264"/>
        <w:gridCol w:w="1264"/>
        <w:gridCol w:w="1264"/>
        <w:gridCol w:w="1264"/>
        <w:gridCol w:w="1264"/>
        <w:gridCol w:w="1264"/>
        <w:gridCol w:w="1264"/>
      </w:tblGrid>
      <w:tr>
        <w:trPr>
          <w:tblHeader w:val="true"/>
          <w:cantSplit/>
        </w:trPr>
        <w:tc>
          <w:tcPr>
            <w:tcW w:type="dxa" w:w="1531"/>
            <w:vAlign w:val="center"/>
            <w:shd w:fill="D9E2F3"/>
            <w:tcMar>
              <w:top w:w="60" w:type="dxa"/>
              <w:start w:w="80" w:type="dxa"/>
              <w:bottom w:w="60" w:type="dxa"/>
              <w:end w:w="80" w:type="dxa"/>
            </w:tcMar>
          </w:tcPr>
          <w:p>
            <w:pPr>
              <w:spacing w:before="0" w:after="0" w:line="240" w:lineRule="auto"/>
              <w:jc w:val="center"/>
            </w:pPr>
            <w:r/>
            <w:r>
              <w:rPr>
                <w:rFonts w:ascii="Times New Roman" w:hAnsi="Times New Roman" w:eastAsia="宋体"/>
                <w:b/>
                <w:sz w:val="18"/>
              </w:rPr>
              <w:t>学科或知识点</w:t>
            </w:r>
          </w:p>
        </w:tc>
        <w:tc>
          <w:tcPr>
            <w:tcW w:type="dxa" w:w="1134"/>
            <w:vAlign w:val="center"/>
            <w:shd w:fill="D9E2F3"/>
            <w:tcMar>
              <w:top w:w="60" w:type="dxa"/>
              <w:start w:w="80" w:type="dxa"/>
              <w:bottom w:w="60" w:type="dxa"/>
              <w:end w:w="80" w:type="dxa"/>
            </w:tcMar>
          </w:tcPr>
          <w:p>
            <w:pPr>
              <w:spacing w:before="0" w:after="0" w:line="240" w:lineRule="auto"/>
              <w:jc w:val="center"/>
            </w:pPr>
            <w:r/>
            <w:r>
              <w:rPr>
                <w:rFonts w:ascii="Times New Roman" w:hAnsi="Times New Roman" w:eastAsia="宋体"/>
                <w:b/>
                <w:sz w:val="18"/>
              </w:rPr>
              <w:t>2023年本校</w:t>
            </w:r>
          </w:p>
        </w:tc>
        <w:tc>
          <w:tcPr>
            <w:tcW w:type="dxa" w:w="1020"/>
            <w:vAlign w:val="center"/>
            <w:shd w:fill="D9E2F3"/>
            <w:tcMar>
              <w:top w:w="60" w:type="dxa"/>
              <w:start w:w="80" w:type="dxa"/>
              <w:bottom w:w="60" w:type="dxa"/>
              <w:end w:w="80" w:type="dxa"/>
            </w:tcMar>
          </w:tcPr>
          <w:p>
            <w:pPr>
              <w:spacing w:before="0" w:after="0" w:line="240" w:lineRule="auto"/>
              <w:jc w:val="center"/>
            </w:pPr>
            <w:r/>
            <w:r>
              <w:rPr>
                <w:rFonts w:ascii="Times New Roman" w:hAnsi="Times New Roman" w:eastAsia="宋体"/>
                <w:b/>
                <w:sz w:val="18"/>
              </w:rPr>
              <w:t>2023年差值</w:t>
            </w:r>
          </w:p>
        </w:tc>
        <w:tc>
          <w:tcPr>
            <w:tcW w:type="dxa" w:w="1134"/>
            <w:vAlign w:val="center"/>
            <w:shd w:fill="D9E2F3"/>
            <w:tcMar>
              <w:top w:w="60" w:type="dxa"/>
              <w:start w:w="80" w:type="dxa"/>
              <w:bottom w:w="60" w:type="dxa"/>
              <w:end w:w="80" w:type="dxa"/>
            </w:tcMar>
          </w:tcPr>
          <w:p>
            <w:pPr>
              <w:spacing w:before="0" w:after="0" w:line="240" w:lineRule="auto"/>
              <w:jc w:val="center"/>
            </w:pPr>
            <w:r/>
            <w:r>
              <w:rPr>
                <w:rFonts w:ascii="Times New Roman" w:hAnsi="Times New Roman" w:eastAsia="宋体"/>
                <w:b/>
                <w:sz w:val="18"/>
              </w:rPr>
              <w:t>2024年本校</w:t>
            </w:r>
          </w:p>
        </w:tc>
        <w:tc>
          <w:tcPr>
            <w:tcW w:type="dxa" w:w="1020"/>
            <w:vAlign w:val="center"/>
            <w:shd w:fill="D9E2F3"/>
            <w:tcMar>
              <w:top w:w="60" w:type="dxa"/>
              <w:start w:w="80" w:type="dxa"/>
              <w:bottom w:w="60" w:type="dxa"/>
              <w:end w:w="80" w:type="dxa"/>
            </w:tcMar>
          </w:tcPr>
          <w:p>
            <w:pPr>
              <w:spacing w:before="0" w:after="0" w:line="240" w:lineRule="auto"/>
              <w:jc w:val="center"/>
            </w:pPr>
            <w:r/>
            <w:r>
              <w:rPr>
                <w:rFonts w:ascii="Times New Roman" w:hAnsi="Times New Roman" w:eastAsia="宋体"/>
                <w:b/>
                <w:sz w:val="18"/>
              </w:rPr>
              <w:t>2024年差值</w:t>
            </w:r>
          </w:p>
        </w:tc>
        <w:tc>
          <w:tcPr>
            <w:tcW w:type="dxa" w:w="1134"/>
            <w:vAlign w:val="center"/>
            <w:shd w:fill="D9E2F3"/>
            <w:tcMar>
              <w:top w:w="60" w:type="dxa"/>
              <w:start w:w="80" w:type="dxa"/>
              <w:bottom w:w="60" w:type="dxa"/>
              <w:end w:w="80" w:type="dxa"/>
            </w:tcMar>
          </w:tcPr>
          <w:p>
            <w:pPr>
              <w:spacing w:before="0" w:after="0" w:line="240" w:lineRule="auto"/>
              <w:jc w:val="center"/>
            </w:pPr>
            <w:r/>
            <w:r>
              <w:rPr>
                <w:rFonts w:ascii="Times New Roman" w:hAnsi="Times New Roman" w:eastAsia="宋体"/>
                <w:b/>
                <w:sz w:val="18"/>
              </w:rPr>
              <w:t>2025年本校</w:t>
            </w:r>
          </w:p>
        </w:tc>
        <w:tc>
          <w:tcPr>
            <w:tcW w:type="dxa" w:w="1020"/>
            <w:vAlign w:val="center"/>
            <w:shd w:fill="D9E2F3"/>
            <w:tcMar>
              <w:top w:w="60" w:type="dxa"/>
              <w:start w:w="80" w:type="dxa"/>
              <w:bottom w:w="60" w:type="dxa"/>
              <w:end w:w="80" w:type="dxa"/>
            </w:tcMar>
          </w:tcPr>
          <w:p>
            <w:pPr>
              <w:spacing w:before="0" w:after="0" w:line="240" w:lineRule="auto"/>
              <w:jc w:val="center"/>
            </w:pPr>
            <w:r/>
            <w:r>
              <w:rPr>
                <w:rFonts w:ascii="Times New Roman" w:hAnsi="Times New Roman" w:eastAsia="宋体"/>
                <w:b/>
                <w:sz w:val="18"/>
              </w:rPr>
              <w:t>2025年差值</w:t>
            </w:r>
          </w:p>
        </w:tc>
      </w:tr>
      <w:tr>
        <w:trPr>
          <w:cantSplit/>
        </w:trPr>
        <w:tc>
          <w:tcPr>
            <w:tcW w:type="dxa" w:w="1531"/>
            <w:vAlign w:val="center"/>
            <w:tcMar>
              <w:top w:w="60" w:type="dxa"/>
              <w:start w:w="80" w:type="dxa"/>
              <w:bottom w:w="60" w:type="dxa"/>
              <w:end w:w="80" w:type="dxa"/>
            </w:tcMar>
          </w:tcPr>
          <w:p>
            <w:pPr>
              <w:spacing w:before="0" w:after="0" w:line="240" w:lineRule="auto"/>
              <w:jc w:val="left"/>
            </w:pPr>
            <w:r/>
            <w:r>
              <w:rPr>
                <w:rFonts w:ascii="Times New Roman" w:hAnsi="Times New Roman" w:eastAsia="宋体"/>
                <w:b w:val="0"/>
                <w:sz w:val="18"/>
              </w:rPr>
              <w:t>病理生理学</w:t>
            </w:r>
          </w:p>
        </w:tc>
        <w:tc>
          <w:tcPr>
            <w:tcW w:type="dxa" w:w="1134"/>
            <w:vAlign w:val="center"/>
            <w:tcMar>
              <w:top w:w="60" w:type="dxa"/>
              <w:start w:w="80" w:type="dxa"/>
              <w:bottom w:w="60" w:type="dxa"/>
              <w:end w:w="80" w:type="dxa"/>
            </w:tcMar>
          </w:tcPr>
          <w:p>
            <w:pPr>
              <w:spacing w:before="0" w:after="0" w:line="240" w:lineRule="auto"/>
              <w:jc w:val="center"/>
            </w:pPr>
            <w:r/>
            <w:r>
              <w:rPr>
                <w:rFonts w:ascii="Times New Roman" w:hAnsi="Times New Roman" w:eastAsia="宋体"/>
                <w:b w:val="0"/>
                <w:sz w:val="18"/>
              </w:rPr>
              <w:t>50.38%</w:t>
            </w:r>
          </w:p>
        </w:tc>
        <w:tc>
          <w:tcPr>
            <w:tcW w:type="dxa" w:w="1020"/>
            <w:vAlign w:val="center"/>
            <w:tcMar>
              <w:top w:w="60" w:type="dxa"/>
              <w:start w:w="80" w:type="dxa"/>
              <w:bottom w:w="60" w:type="dxa"/>
              <w:end w:w="80" w:type="dxa"/>
            </w:tcMar>
          </w:tcPr>
          <w:p>
            <w:pPr>
              <w:spacing w:before="0" w:after="0" w:line="240" w:lineRule="auto"/>
              <w:jc w:val="center"/>
            </w:pPr>
            <w:r/>
            <w:r>
              <w:rPr>
                <w:rFonts w:ascii="Times New Roman" w:hAnsi="Times New Roman" w:eastAsia="宋体"/>
                <w:b w:val="0"/>
                <w:sz w:val="18"/>
              </w:rPr>
              <w:t>-2.37</w:t>
            </w:r>
          </w:p>
        </w:tc>
        <w:tc>
          <w:tcPr>
            <w:tcW w:type="dxa" w:w="1134"/>
            <w:vAlign w:val="center"/>
            <w:tcMar>
              <w:top w:w="60" w:type="dxa"/>
              <w:start w:w="80" w:type="dxa"/>
              <w:bottom w:w="60" w:type="dxa"/>
              <w:end w:w="80" w:type="dxa"/>
            </w:tcMar>
          </w:tcPr>
          <w:p>
            <w:pPr>
              <w:spacing w:before="0" w:after="0" w:line="240" w:lineRule="auto"/>
              <w:jc w:val="center"/>
            </w:pPr>
            <w:r/>
            <w:r>
              <w:rPr>
                <w:rFonts w:ascii="Times New Roman" w:hAnsi="Times New Roman" w:eastAsia="宋体"/>
                <w:b w:val="0"/>
                <w:sz w:val="18"/>
              </w:rPr>
              <w:t>71.45%</w:t>
            </w:r>
          </w:p>
        </w:tc>
        <w:tc>
          <w:tcPr>
            <w:tcW w:type="dxa" w:w="1020"/>
            <w:vAlign w:val="center"/>
            <w:tcMar>
              <w:top w:w="60" w:type="dxa"/>
              <w:start w:w="80" w:type="dxa"/>
              <w:bottom w:w="60" w:type="dxa"/>
              <w:end w:w="80" w:type="dxa"/>
            </w:tcMar>
          </w:tcPr>
          <w:p>
            <w:pPr>
              <w:spacing w:before="0" w:after="0" w:line="240" w:lineRule="auto"/>
              <w:jc w:val="center"/>
            </w:pPr>
            <w:r/>
            <w:r>
              <w:rPr>
                <w:rFonts w:ascii="Times New Roman" w:hAnsi="Times New Roman" w:eastAsia="宋体"/>
                <w:b w:val="0"/>
                <w:sz w:val="18"/>
              </w:rPr>
              <w:t>-1.33</w:t>
            </w:r>
          </w:p>
        </w:tc>
        <w:tc>
          <w:tcPr>
            <w:tcW w:type="dxa" w:w="1134"/>
            <w:vAlign w:val="center"/>
            <w:tcMar>
              <w:top w:w="60" w:type="dxa"/>
              <w:start w:w="80" w:type="dxa"/>
              <w:bottom w:w="60" w:type="dxa"/>
              <w:end w:w="80" w:type="dxa"/>
            </w:tcMar>
          </w:tcPr>
          <w:p>
            <w:pPr>
              <w:spacing w:before="0" w:after="0" w:line="240" w:lineRule="auto"/>
              <w:jc w:val="center"/>
            </w:pPr>
            <w:r/>
            <w:r>
              <w:rPr>
                <w:rFonts w:ascii="Times New Roman" w:hAnsi="Times New Roman" w:eastAsia="宋体"/>
                <w:b w:val="0"/>
                <w:sz w:val="18"/>
              </w:rPr>
              <w:t>73.83%</w:t>
            </w:r>
          </w:p>
        </w:tc>
        <w:tc>
          <w:tcPr>
            <w:tcW w:type="dxa" w:w="1020"/>
            <w:vAlign w:val="center"/>
            <w:tcMar>
              <w:top w:w="60" w:type="dxa"/>
              <w:start w:w="80" w:type="dxa"/>
              <w:bottom w:w="60" w:type="dxa"/>
              <w:end w:w="80" w:type="dxa"/>
            </w:tcMar>
          </w:tcPr>
          <w:p>
            <w:pPr>
              <w:spacing w:before="0" w:after="0" w:line="240" w:lineRule="auto"/>
              <w:jc w:val="center"/>
            </w:pPr>
            <w:r/>
            <w:r>
              <w:rPr>
                <w:rFonts w:ascii="Times New Roman" w:hAnsi="Times New Roman" w:eastAsia="宋体"/>
                <w:b w:val="0"/>
                <w:sz w:val="18"/>
              </w:rPr>
              <w:t>-2.24</w:t>
            </w:r>
          </w:p>
        </w:tc>
      </w:tr>
      <w:tr>
        <w:trPr>
          <w:cantSplit/>
        </w:trPr>
        <w:tc>
          <w:tcPr>
            <w:tcW w:type="dxa" w:w="1531"/>
            <w:vAlign w:val="center"/>
            <w:tcMar>
              <w:top w:w="60" w:type="dxa"/>
              <w:start w:w="80" w:type="dxa"/>
              <w:bottom w:w="60" w:type="dxa"/>
              <w:end w:w="80" w:type="dxa"/>
            </w:tcMar>
          </w:tcPr>
          <w:p>
            <w:pPr>
              <w:spacing w:before="0" w:after="0" w:line="240" w:lineRule="auto"/>
              <w:jc w:val="left"/>
            </w:pPr>
            <w:r/>
            <w:r>
              <w:rPr>
                <w:rFonts w:ascii="Times New Roman" w:hAnsi="Times New Roman" w:eastAsia="宋体"/>
                <w:b w:val="0"/>
                <w:sz w:val="18"/>
              </w:rPr>
              <w:t>病理学</w:t>
            </w:r>
          </w:p>
        </w:tc>
        <w:tc>
          <w:tcPr>
            <w:tcW w:type="dxa" w:w="1134"/>
            <w:vAlign w:val="center"/>
            <w:tcMar>
              <w:top w:w="60" w:type="dxa"/>
              <w:start w:w="80" w:type="dxa"/>
              <w:bottom w:w="60" w:type="dxa"/>
              <w:end w:w="80" w:type="dxa"/>
            </w:tcMar>
          </w:tcPr>
          <w:p>
            <w:pPr>
              <w:spacing w:before="0" w:after="0" w:line="240" w:lineRule="auto"/>
              <w:jc w:val="center"/>
            </w:pPr>
            <w:r/>
            <w:r>
              <w:rPr>
                <w:rFonts w:ascii="Times New Roman" w:hAnsi="Times New Roman" w:eastAsia="宋体"/>
                <w:b w:val="0"/>
                <w:sz w:val="18"/>
              </w:rPr>
              <w:t>65.71%</w:t>
            </w:r>
          </w:p>
        </w:tc>
        <w:tc>
          <w:tcPr>
            <w:tcW w:type="dxa" w:w="1020"/>
            <w:vAlign w:val="center"/>
            <w:tcMar>
              <w:top w:w="60" w:type="dxa"/>
              <w:start w:w="80" w:type="dxa"/>
              <w:bottom w:w="60" w:type="dxa"/>
              <w:end w:w="80" w:type="dxa"/>
            </w:tcMar>
          </w:tcPr>
          <w:p>
            <w:pPr>
              <w:spacing w:before="0" w:after="0" w:line="240" w:lineRule="auto"/>
              <w:jc w:val="center"/>
            </w:pPr>
            <w:r/>
            <w:r>
              <w:rPr>
                <w:rFonts w:ascii="Times New Roman" w:hAnsi="Times New Roman" w:eastAsia="宋体"/>
                <w:b w:val="0"/>
                <w:sz w:val="18"/>
              </w:rPr>
              <w:t>-1.29</w:t>
            </w:r>
          </w:p>
        </w:tc>
        <w:tc>
          <w:tcPr>
            <w:tcW w:type="dxa" w:w="1134"/>
            <w:vAlign w:val="center"/>
            <w:tcMar>
              <w:top w:w="60" w:type="dxa"/>
              <w:start w:w="80" w:type="dxa"/>
              <w:bottom w:w="60" w:type="dxa"/>
              <w:end w:w="80" w:type="dxa"/>
            </w:tcMar>
          </w:tcPr>
          <w:p>
            <w:pPr>
              <w:spacing w:before="0" w:after="0" w:line="240" w:lineRule="auto"/>
              <w:jc w:val="center"/>
            </w:pPr>
            <w:r/>
            <w:r>
              <w:rPr>
                <w:rFonts w:ascii="Times New Roman" w:hAnsi="Times New Roman" w:eastAsia="宋体"/>
                <w:b w:val="0"/>
                <w:sz w:val="18"/>
              </w:rPr>
              <w:t>69.03%</w:t>
            </w:r>
          </w:p>
        </w:tc>
        <w:tc>
          <w:tcPr>
            <w:tcW w:type="dxa" w:w="1020"/>
            <w:vAlign w:val="center"/>
            <w:tcMar>
              <w:top w:w="60" w:type="dxa"/>
              <w:start w:w="80" w:type="dxa"/>
              <w:bottom w:w="60" w:type="dxa"/>
              <w:end w:w="80" w:type="dxa"/>
            </w:tcMar>
          </w:tcPr>
          <w:p>
            <w:pPr>
              <w:spacing w:before="0" w:after="0" w:line="240" w:lineRule="auto"/>
              <w:jc w:val="center"/>
            </w:pPr>
            <w:r/>
            <w:r>
              <w:rPr>
                <w:rFonts w:ascii="Times New Roman" w:hAnsi="Times New Roman" w:eastAsia="宋体"/>
                <w:b w:val="0"/>
                <w:sz w:val="18"/>
              </w:rPr>
              <w:t>-1.26</w:t>
            </w:r>
          </w:p>
        </w:tc>
        <w:tc>
          <w:tcPr>
            <w:tcW w:type="dxa" w:w="1134"/>
            <w:vAlign w:val="center"/>
            <w:tcMar>
              <w:top w:w="60" w:type="dxa"/>
              <w:start w:w="80" w:type="dxa"/>
              <w:bottom w:w="60" w:type="dxa"/>
              <w:end w:w="80" w:type="dxa"/>
            </w:tcMar>
          </w:tcPr>
          <w:p>
            <w:pPr>
              <w:spacing w:before="0" w:after="0" w:line="240" w:lineRule="auto"/>
              <w:jc w:val="center"/>
            </w:pPr>
            <w:r/>
            <w:r>
              <w:rPr>
                <w:rFonts w:ascii="Times New Roman" w:hAnsi="Times New Roman" w:eastAsia="宋体"/>
                <w:b w:val="0"/>
                <w:sz w:val="18"/>
              </w:rPr>
              <w:t>68.72%</w:t>
            </w:r>
          </w:p>
        </w:tc>
        <w:tc>
          <w:tcPr>
            <w:tcW w:type="dxa" w:w="1020"/>
            <w:vAlign w:val="center"/>
            <w:tcMar>
              <w:top w:w="60" w:type="dxa"/>
              <w:start w:w="80" w:type="dxa"/>
              <w:bottom w:w="60" w:type="dxa"/>
              <w:end w:w="80" w:type="dxa"/>
            </w:tcMar>
          </w:tcPr>
          <w:p>
            <w:pPr>
              <w:spacing w:before="0" w:after="0" w:line="240" w:lineRule="auto"/>
              <w:jc w:val="center"/>
            </w:pPr>
            <w:r/>
            <w:r>
              <w:rPr>
                <w:rFonts w:ascii="Times New Roman" w:hAnsi="Times New Roman" w:eastAsia="宋体"/>
                <w:b w:val="0"/>
                <w:sz w:val="18"/>
              </w:rPr>
              <w:t>-0.74</w:t>
            </w:r>
          </w:p>
        </w:tc>
      </w:tr>
      <w:tr>
        <w:trPr>
          <w:cantSplit/>
        </w:trPr>
        <w:tc>
          <w:tcPr>
            <w:tcW w:type="dxa" w:w="1531"/>
            <w:vAlign w:val="center"/>
            <w:tcMar>
              <w:top w:w="60" w:type="dxa"/>
              <w:start w:w="80" w:type="dxa"/>
              <w:bottom w:w="60" w:type="dxa"/>
              <w:end w:w="80" w:type="dxa"/>
            </w:tcMar>
          </w:tcPr>
          <w:p>
            <w:pPr>
              <w:spacing w:before="0" w:after="0" w:line="240" w:lineRule="auto"/>
              <w:jc w:val="left"/>
            </w:pPr>
            <w:r/>
            <w:r>
              <w:rPr>
                <w:rFonts w:ascii="Times New Roman" w:hAnsi="Times New Roman" w:eastAsia="宋体"/>
                <w:b w:val="0"/>
                <w:sz w:val="18"/>
              </w:rPr>
              <w:t>解剖学</w:t>
            </w:r>
          </w:p>
        </w:tc>
        <w:tc>
          <w:tcPr>
            <w:tcW w:type="dxa" w:w="1134"/>
            <w:vAlign w:val="center"/>
            <w:tcMar>
              <w:top w:w="60" w:type="dxa"/>
              <w:start w:w="80" w:type="dxa"/>
              <w:bottom w:w="60" w:type="dxa"/>
              <w:end w:w="80" w:type="dxa"/>
            </w:tcMar>
          </w:tcPr>
          <w:p>
            <w:pPr>
              <w:spacing w:before="0" w:after="0" w:line="240" w:lineRule="auto"/>
              <w:jc w:val="center"/>
            </w:pPr>
            <w:r/>
            <w:r>
              <w:rPr>
                <w:rFonts w:ascii="Times New Roman" w:hAnsi="Times New Roman" w:eastAsia="宋体"/>
                <w:b w:val="0"/>
                <w:sz w:val="18"/>
              </w:rPr>
              <w:t>51.44%</w:t>
            </w:r>
          </w:p>
        </w:tc>
        <w:tc>
          <w:tcPr>
            <w:tcW w:type="dxa" w:w="1020"/>
            <w:vAlign w:val="center"/>
            <w:tcMar>
              <w:top w:w="60" w:type="dxa"/>
              <w:start w:w="80" w:type="dxa"/>
              <w:bottom w:w="60" w:type="dxa"/>
              <w:end w:w="80" w:type="dxa"/>
            </w:tcMar>
          </w:tcPr>
          <w:p>
            <w:pPr>
              <w:spacing w:before="0" w:after="0" w:line="240" w:lineRule="auto"/>
              <w:jc w:val="center"/>
            </w:pPr>
            <w:r/>
            <w:r>
              <w:rPr>
                <w:rFonts w:ascii="Times New Roman" w:hAnsi="Times New Roman" w:eastAsia="宋体"/>
                <w:b w:val="0"/>
                <w:sz w:val="18"/>
              </w:rPr>
              <w:t>-3.56</w:t>
            </w:r>
          </w:p>
        </w:tc>
        <w:tc>
          <w:tcPr>
            <w:tcW w:type="dxa" w:w="1134"/>
            <w:vAlign w:val="center"/>
            <w:tcMar>
              <w:top w:w="60" w:type="dxa"/>
              <w:start w:w="80" w:type="dxa"/>
              <w:bottom w:w="60" w:type="dxa"/>
              <w:end w:w="80" w:type="dxa"/>
            </w:tcMar>
          </w:tcPr>
          <w:p>
            <w:pPr>
              <w:spacing w:before="0" w:after="0" w:line="240" w:lineRule="auto"/>
              <w:jc w:val="center"/>
            </w:pPr>
            <w:r/>
            <w:r>
              <w:rPr>
                <w:rFonts w:ascii="Times New Roman" w:hAnsi="Times New Roman" w:eastAsia="宋体"/>
                <w:b w:val="0"/>
                <w:sz w:val="18"/>
              </w:rPr>
              <w:t>24.18%</w:t>
            </w:r>
          </w:p>
        </w:tc>
        <w:tc>
          <w:tcPr>
            <w:tcW w:type="dxa" w:w="1020"/>
            <w:vAlign w:val="center"/>
            <w:tcMar>
              <w:top w:w="60" w:type="dxa"/>
              <w:start w:w="80" w:type="dxa"/>
              <w:bottom w:w="60" w:type="dxa"/>
              <w:end w:w="80" w:type="dxa"/>
            </w:tcMar>
          </w:tcPr>
          <w:p>
            <w:pPr>
              <w:spacing w:before="0" w:after="0" w:line="240" w:lineRule="auto"/>
              <w:jc w:val="center"/>
            </w:pPr>
            <w:r/>
            <w:r>
              <w:rPr>
                <w:rFonts w:ascii="Times New Roman" w:hAnsi="Times New Roman" w:eastAsia="宋体"/>
                <w:b w:val="0"/>
                <w:sz w:val="18"/>
              </w:rPr>
              <w:t>-4.12</w:t>
            </w:r>
          </w:p>
        </w:tc>
        <w:tc>
          <w:tcPr>
            <w:tcW w:type="dxa" w:w="1134"/>
            <w:vAlign w:val="center"/>
            <w:tcMar>
              <w:top w:w="60" w:type="dxa"/>
              <w:start w:w="80" w:type="dxa"/>
              <w:bottom w:w="60" w:type="dxa"/>
              <w:end w:w="80" w:type="dxa"/>
            </w:tcMar>
          </w:tcPr>
          <w:p>
            <w:pPr>
              <w:spacing w:before="0" w:after="0" w:line="240" w:lineRule="auto"/>
              <w:jc w:val="center"/>
            </w:pPr>
            <w:r/>
            <w:r>
              <w:rPr>
                <w:rFonts w:ascii="Times New Roman" w:hAnsi="Times New Roman" w:eastAsia="宋体"/>
                <w:b w:val="0"/>
                <w:sz w:val="18"/>
              </w:rPr>
              <w:t>44.98%</w:t>
            </w:r>
          </w:p>
        </w:tc>
        <w:tc>
          <w:tcPr>
            <w:tcW w:type="dxa" w:w="1020"/>
            <w:vAlign w:val="center"/>
            <w:tcMar>
              <w:top w:w="60" w:type="dxa"/>
              <w:start w:w="80" w:type="dxa"/>
              <w:bottom w:w="60" w:type="dxa"/>
              <w:end w:w="80" w:type="dxa"/>
            </w:tcMar>
          </w:tcPr>
          <w:p>
            <w:pPr>
              <w:spacing w:before="0" w:after="0" w:line="240" w:lineRule="auto"/>
              <w:jc w:val="center"/>
            </w:pPr>
            <w:r/>
            <w:r>
              <w:rPr>
                <w:rFonts w:ascii="Times New Roman" w:hAnsi="Times New Roman" w:eastAsia="宋体"/>
                <w:b w:val="0"/>
                <w:sz w:val="18"/>
              </w:rPr>
              <w:t>-5.26</w:t>
            </w:r>
          </w:p>
        </w:tc>
      </w:tr>
      <w:tr>
        <w:trPr>
          <w:cantSplit/>
        </w:trPr>
        <w:tc>
          <w:tcPr>
            <w:tcW w:type="dxa" w:w="1531"/>
            <w:vAlign w:val="center"/>
            <w:tcMar>
              <w:top w:w="60" w:type="dxa"/>
              <w:start w:w="80" w:type="dxa"/>
              <w:bottom w:w="60" w:type="dxa"/>
              <w:end w:w="80" w:type="dxa"/>
            </w:tcMar>
          </w:tcPr>
          <w:p>
            <w:pPr>
              <w:spacing w:before="0" w:after="0" w:line="240" w:lineRule="auto"/>
              <w:jc w:val="left"/>
            </w:pPr>
            <w:r/>
            <w:r>
              <w:rPr>
                <w:rFonts w:ascii="Times New Roman" w:hAnsi="Times New Roman" w:eastAsia="宋体"/>
                <w:b w:val="0"/>
                <w:sz w:val="18"/>
              </w:rPr>
              <w:t>生理学</w:t>
            </w:r>
          </w:p>
        </w:tc>
        <w:tc>
          <w:tcPr>
            <w:tcW w:type="dxa" w:w="1134"/>
            <w:vAlign w:val="center"/>
            <w:tcMar>
              <w:top w:w="60" w:type="dxa"/>
              <w:start w:w="80" w:type="dxa"/>
              <w:bottom w:w="60" w:type="dxa"/>
              <w:end w:w="80" w:type="dxa"/>
            </w:tcMar>
          </w:tcPr>
          <w:p>
            <w:pPr>
              <w:spacing w:before="0" w:after="0" w:line="240" w:lineRule="auto"/>
              <w:jc w:val="center"/>
            </w:pPr>
            <w:r/>
            <w:r>
              <w:rPr>
                <w:rFonts w:ascii="Times New Roman" w:hAnsi="Times New Roman" w:eastAsia="宋体"/>
                <w:b w:val="0"/>
                <w:sz w:val="18"/>
              </w:rPr>
              <w:t>62.46%</w:t>
            </w:r>
          </w:p>
        </w:tc>
        <w:tc>
          <w:tcPr>
            <w:tcW w:type="dxa" w:w="1020"/>
            <w:vAlign w:val="center"/>
            <w:tcMar>
              <w:top w:w="60" w:type="dxa"/>
              <w:start w:w="80" w:type="dxa"/>
              <w:bottom w:w="60" w:type="dxa"/>
              <w:end w:w="80" w:type="dxa"/>
            </w:tcMar>
          </w:tcPr>
          <w:p>
            <w:pPr>
              <w:spacing w:before="0" w:after="0" w:line="240" w:lineRule="auto"/>
              <w:jc w:val="center"/>
            </w:pPr>
            <w:r/>
            <w:r>
              <w:rPr>
                <w:rFonts w:ascii="Times New Roman" w:hAnsi="Times New Roman" w:eastAsia="宋体"/>
                <w:b w:val="0"/>
                <w:sz w:val="18"/>
              </w:rPr>
              <w:t>+0.92</w:t>
            </w:r>
          </w:p>
        </w:tc>
        <w:tc>
          <w:tcPr>
            <w:tcW w:type="dxa" w:w="1134"/>
            <w:vAlign w:val="center"/>
            <w:tcMar>
              <w:top w:w="60" w:type="dxa"/>
              <w:start w:w="80" w:type="dxa"/>
              <w:bottom w:w="60" w:type="dxa"/>
              <w:end w:w="80" w:type="dxa"/>
            </w:tcMar>
          </w:tcPr>
          <w:p>
            <w:pPr>
              <w:spacing w:before="0" w:after="0" w:line="240" w:lineRule="auto"/>
              <w:jc w:val="center"/>
            </w:pPr>
            <w:r/>
            <w:r>
              <w:rPr>
                <w:rFonts w:ascii="Times New Roman" w:hAnsi="Times New Roman" w:eastAsia="宋体"/>
                <w:b w:val="0"/>
                <w:sz w:val="18"/>
              </w:rPr>
              <w:t>59.89%</w:t>
            </w:r>
          </w:p>
        </w:tc>
        <w:tc>
          <w:tcPr>
            <w:tcW w:type="dxa" w:w="1020"/>
            <w:vAlign w:val="center"/>
            <w:tcMar>
              <w:top w:w="60" w:type="dxa"/>
              <w:start w:w="80" w:type="dxa"/>
              <w:bottom w:w="60" w:type="dxa"/>
              <w:end w:w="80" w:type="dxa"/>
            </w:tcMar>
          </w:tcPr>
          <w:p>
            <w:pPr>
              <w:spacing w:before="0" w:after="0" w:line="240" w:lineRule="auto"/>
              <w:jc w:val="center"/>
            </w:pPr>
            <w:r/>
            <w:r>
              <w:rPr>
                <w:rFonts w:ascii="Times New Roman" w:hAnsi="Times New Roman" w:eastAsia="宋体"/>
                <w:b w:val="0"/>
                <w:sz w:val="18"/>
              </w:rPr>
              <w:t>-0.29</w:t>
            </w:r>
          </w:p>
        </w:tc>
        <w:tc>
          <w:tcPr>
            <w:tcW w:type="dxa" w:w="1134"/>
            <w:vAlign w:val="center"/>
            <w:tcMar>
              <w:top w:w="60" w:type="dxa"/>
              <w:start w:w="80" w:type="dxa"/>
              <w:bottom w:w="60" w:type="dxa"/>
              <w:end w:w="80" w:type="dxa"/>
            </w:tcMar>
          </w:tcPr>
          <w:p>
            <w:pPr>
              <w:spacing w:before="0" w:after="0" w:line="240" w:lineRule="auto"/>
              <w:jc w:val="center"/>
            </w:pPr>
            <w:r/>
            <w:r>
              <w:rPr>
                <w:rFonts w:ascii="Times New Roman" w:hAnsi="Times New Roman" w:eastAsia="宋体"/>
                <w:b w:val="0"/>
                <w:sz w:val="18"/>
              </w:rPr>
              <w:t>65.08%</w:t>
            </w:r>
          </w:p>
        </w:tc>
        <w:tc>
          <w:tcPr>
            <w:tcW w:type="dxa" w:w="1020"/>
            <w:vAlign w:val="center"/>
            <w:tcMar>
              <w:top w:w="60" w:type="dxa"/>
              <w:start w:w="80" w:type="dxa"/>
              <w:bottom w:w="60" w:type="dxa"/>
              <w:end w:w="80" w:type="dxa"/>
            </w:tcMar>
          </w:tcPr>
          <w:p>
            <w:pPr>
              <w:spacing w:before="0" w:after="0" w:line="240" w:lineRule="auto"/>
              <w:jc w:val="center"/>
            </w:pPr>
            <w:r/>
            <w:r>
              <w:rPr>
                <w:rFonts w:ascii="Times New Roman" w:hAnsi="Times New Roman" w:eastAsia="宋体"/>
                <w:b w:val="0"/>
                <w:sz w:val="18"/>
              </w:rPr>
              <w:t>-0.59</w:t>
            </w:r>
          </w:p>
        </w:tc>
      </w:tr>
      <w:tr>
        <w:trPr>
          <w:cantSplit/>
        </w:trPr>
        <w:tc>
          <w:tcPr>
            <w:tcW w:type="dxa" w:w="1531"/>
            <w:vAlign w:val="center"/>
            <w:tcMar>
              <w:top w:w="60" w:type="dxa"/>
              <w:start w:w="80" w:type="dxa"/>
              <w:bottom w:w="60" w:type="dxa"/>
              <w:end w:w="80" w:type="dxa"/>
            </w:tcMar>
          </w:tcPr>
          <w:p>
            <w:pPr>
              <w:spacing w:before="0" w:after="0" w:line="240" w:lineRule="auto"/>
              <w:jc w:val="left"/>
            </w:pPr>
            <w:r/>
            <w:r>
              <w:rPr>
                <w:rFonts w:ascii="Times New Roman" w:hAnsi="Times New Roman" w:eastAsia="宋体"/>
                <w:b w:val="0"/>
                <w:sz w:val="18"/>
              </w:rPr>
              <w:t>生物化学</w:t>
            </w:r>
          </w:p>
        </w:tc>
        <w:tc>
          <w:tcPr>
            <w:tcW w:type="dxa" w:w="1134"/>
            <w:vAlign w:val="center"/>
            <w:tcMar>
              <w:top w:w="60" w:type="dxa"/>
              <w:start w:w="80" w:type="dxa"/>
              <w:bottom w:w="60" w:type="dxa"/>
              <w:end w:w="80" w:type="dxa"/>
            </w:tcMar>
          </w:tcPr>
          <w:p>
            <w:pPr>
              <w:spacing w:before="0" w:after="0" w:line="240" w:lineRule="auto"/>
              <w:jc w:val="center"/>
            </w:pPr>
            <w:r/>
            <w:r>
              <w:rPr>
                <w:rFonts w:ascii="Times New Roman" w:hAnsi="Times New Roman" w:eastAsia="宋体"/>
                <w:b w:val="0"/>
                <w:sz w:val="18"/>
              </w:rPr>
              <w:t>59.60%</w:t>
            </w:r>
          </w:p>
        </w:tc>
        <w:tc>
          <w:tcPr>
            <w:tcW w:type="dxa" w:w="1020"/>
            <w:vAlign w:val="center"/>
            <w:tcMar>
              <w:top w:w="60" w:type="dxa"/>
              <w:start w:w="80" w:type="dxa"/>
              <w:bottom w:w="60" w:type="dxa"/>
              <w:end w:w="80" w:type="dxa"/>
            </w:tcMar>
          </w:tcPr>
          <w:p>
            <w:pPr>
              <w:spacing w:before="0" w:after="0" w:line="240" w:lineRule="auto"/>
              <w:jc w:val="center"/>
            </w:pPr>
            <w:r/>
            <w:r>
              <w:rPr>
                <w:rFonts w:ascii="Times New Roman" w:hAnsi="Times New Roman" w:eastAsia="宋体"/>
                <w:b w:val="0"/>
                <w:sz w:val="18"/>
              </w:rPr>
              <w:t>-1.40</w:t>
            </w:r>
          </w:p>
        </w:tc>
        <w:tc>
          <w:tcPr>
            <w:tcW w:type="dxa" w:w="1134"/>
            <w:vAlign w:val="center"/>
            <w:tcMar>
              <w:top w:w="60" w:type="dxa"/>
              <w:start w:w="80" w:type="dxa"/>
              <w:bottom w:w="60" w:type="dxa"/>
              <w:end w:w="80" w:type="dxa"/>
            </w:tcMar>
          </w:tcPr>
          <w:p>
            <w:pPr>
              <w:spacing w:before="0" w:after="0" w:line="240" w:lineRule="auto"/>
              <w:jc w:val="center"/>
            </w:pPr>
            <w:r/>
            <w:r>
              <w:rPr>
                <w:rFonts w:ascii="Times New Roman" w:hAnsi="Times New Roman" w:eastAsia="宋体"/>
                <w:b w:val="0"/>
                <w:sz w:val="18"/>
              </w:rPr>
              <w:t>65.59%</w:t>
            </w:r>
          </w:p>
        </w:tc>
        <w:tc>
          <w:tcPr>
            <w:tcW w:type="dxa" w:w="1020"/>
            <w:vAlign w:val="center"/>
            <w:tcMar>
              <w:top w:w="60" w:type="dxa"/>
              <w:start w:w="80" w:type="dxa"/>
              <w:bottom w:w="60" w:type="dxa"/>
              <w:end w:w="80" w:type="dxa"/>
            </w:tcMar>
          </w:tcPr>
          <w:p>
            <w:pPr>
              <w:spacing w:before="0" w:after="0" w:line="240" w:lineRule="auto"/>
              <w:jc w:val="center"/>
            </w:pPr>
            <w:r/>
            <w:r>
              <w:rPr>
                <w:rFonts w:ascii="Times New Roman" w:hAnsi="Times New Roman" w:eastAsia="宋体"/>
                <w:b w:val="0"/>
                <w:sz w:val="18"/>
              </w:rPr>
              <w:t>-0.72</w:t>
            </w:r>
          </w:p>
        </w:tc>
        <w:tc>
          <w:tcPr>
            <w:tcW w:type="dxa" w:w="1134"/>
            <w:vAlign w:val="center"/>
            <w:tcMar>
              <w:top w:w="60" w:type="dxa"/>
              <w:start w:w="80" w:type="dxa"/>
              <w:bottom w:w="60" w:type="dxa"/>
              <w:end w:w="80" w:type="dxa"/>
            </w:tcMar>
          </w:tcPr>
          <w:p>
            <w:pPr>
              <w:spacing w:before="0" w:after="0" w:line="240" w:lineRule="auto"/>
              <w:jc w:val="center"/>
            </w:pPr>
            <w:r/>
            <w:r>
              <w:rPr>
                <w:rFonts w:ascii="Times New Roman" w:hAnsi="Times New Roman" w:eastAsia="宋体"/>
                <w:b w:val="0"/>
                <w:sz w:val="18"/>
              </w:rPr>
              <w:t>60.27%</w:t>
            </w:r>
          </w:p>
        </w:tc>
        <w:tc>
          <w:tcPr>
            <w:tcW w:type="dxa" w:w="1020"/>
            <w:vAlign w:val="center"/>
            <w:tcMar>
              <w:top w:w="60" w:type="dxa"/>
              <w:start w:w="80" w:type="dxa"/>
              <w:bottom w:w="60" w:type="dxa"/>
              <w:end w:w="80" w:type="dxa"/>
            </w:tcMar>
          </w:tcPr>
          <w:p>
            <w:pPr>
              <w:spacing w:before="0" w:after="0" w:line="240" w:lineRule="auto"/>
              <w:jc w:val="center"/>
            </w:pPr>
            <w:r/>
            <w:r>
              <w:rPr>
                <w:rFonts w:ascii="Times New Roman" w:hAnsi="Times New Roman" w:eastAsia="宋体"/>
                <w:b w:val="0"/>
                <w:sz w:val="18"/>
              </w:rPr>
              <w:t>-1.89</w:t>
            </w:r>
          </w:p>
        </w:tc>
      </w:tr>
      <w:tr>
        <w:trPr>
          <w:cantSplit/>
        </w:trPr>
        <w:tc>
          <w:tcPr>
            <w:tcW w:type="dxa" w:w="1531"/>
            <w:vAlign w:val="center"/>
            <w:tcMar>
              <w:top w:w="60" w:type="dxa"/>
              <w:start w:w="80" w:type="dxa"/>
              <w:bottom w:w="60" w:type="dxa"/>
              <w:end w:w="80" w:type="dxa"/>
            </w:tcMar>
          </w:tcPr>
          <w:p>
            <w:pPr>
              <w:spacing w:before="0" w:after="0" w:line="240" w:lineRule="auto"/>
              <w:jc w:val="left"/>
            </w:pPr>
            <w:r/>
            <w:r>
              <w:rPr>
                <w:rFonts w:ascii="Times New Roman" w:hAnsi="Times New Roman" w:eastAsia="宋体"/>
                <w:b w:val="0"/>
                <w:sz w:val="18"/>
              </w:rPr>
              <w:t>药理学</w:t>
            </w:r>
          </w:p>
        </w:tc>
        <w:tc>
          <w:tcPr>
            <w:tcW w:type="dxa" w:w="1134"/>
            <w:vAlign w:val="center"/>
            <w:tcMar>
              <w:top w:w="60" w:type="dxa"/>
              <w:start w:w="80" w:type="dxa"/>
              <w:bottom w:w="60" w:type="dxa"/>
              <w:end w:w="80" w:type="dxa"/>
            </w:tcMar>
          </w:tcPr>
          <w:p>
            <w:pPr>
              <w:spacing w:before="0" w:after="0" w:line="240" w:lineRule="auto"/>
              <w:jc w:val="center"/>
            </w:pPr>
            <w:r/>
            <w:r>
              <w:rPr>
                <w:rFonts w:ascii="Times New Roman" w:hAnsi="Times New Roman" w:eastAsia="宋体"/>
                <w:b w:val="0"/>
                <w:sz w:val="18"/>
              </w:rPr>
              <w:t>48.25%</w:t>
            </w:r>
          </w:p>
        </w:tc>
        <w:tc>
          <w:tcPr>
            <w:tcW w:type="dxa" w:w="1020"/>
            <w:vAlign w:val="center"/>
            <w:tcMar>
              <w:top w:w="60" w:type="dxa"/>
              <w:start w:w="80" w:type="dxa"/>
              <w:bottom w:w="60" w:type="dxa"/>
              <w:end w:w="80" w:type="dxa"/>
            </w:tcMar>
          </w:tcPr>
          <w:p>
            <w:pPr>
              <w:spacing w:before="0" w:after="0" w:line="240" w:lineRule="auto"/>
              <w:jc w:val="center"/>
            </w:pPr>
            <w:r/>
            <w:r>
              <w:rPr>
                <w:rFonts w:ascii="Times New Roman" w:hAnsi="Times New Roman" w:eastAsia="宋体"/>
                <w:b w:val="0"/>
                <w:sz w:val="18"/>
              </w:rPr>
              <w:t>-2.38</w:t>
            </w:r>
          </w:p>
        </w:tc>
        <w:tc>
          <w:tcPr>
            <w:tcW w:type="dxa" w:w="1134"/>
            <w:vAlign w:val="center"/>
            <w:tcMar>
              <w:top w:w="60" w:type="dxa"/>
              <w:start w:w="80" w:type="dxa"/>
              <w:bottom w:w="60" w:type="dxa"/>
              <w:end w:w="80" w:type="dxa"/>
            </w:tcMar>
          </w:tcPr>
          <w:p>
            <w:pPr>
              <w:spacing w:before="0" w:after="0" w:line="240" w:lineRule="auto"/>
              <w:jc w:val="center"/>
            </w:pPr>
            <w:r/>
            <w:r>
              <w:rPr>
                <w:rFonts w:ascii="Times New Roman" w:hAnsi="Times New Roman" w:eastAsia="宋体"/>
                <w:b w:val="0"/>
                <w:sz w:val="18"/>
              </w:rPr>
              <w:t>53.46%</w:t>
            </w:r>
          </w:p>
        </w:tc>
        <w:tc>
          <w:tcPr>
            <w:tcW w:type="dxa" w:w="1020"/>
            <w:vAlign w:val="center"/>
            <w:tcMar>
              <w:top w:w="60" w:type="dxa"/>
              <w:start w:w="80" w:type="dxa"/>
              <w:bottom w:w="60" w:type="dxa"/>
              <w:end w:w="80" w:type="dxa"/>
            </w:tcMar>
          </w:tcPr>
          <w:p>
            <w:pPr>
              <w:spacing w:before="0" w:after="0" w:line="240" w:lineRule="auto"/>
              <w:jc w:val="center"/>
            </w:pPr>
            <w:r/>
            <w:r>
              <w:rPr>
                <w:rFonts w:ascii="Times New Roman" w:hAnsi="Times New Roman" w:eastAsia="宋体"/>
                <w:b w:val="0"/>
                <w:sz w:val="18"/>
              </w:rPr>
              <w:t>-0.81</w:t>
            </w:r>
          </w:p>
        </w:tc>
        <w:tc>
          <w:tcPr>
            <w:tcW w:type="dxa" w:w="1134"/>
            <w:vAlign w:val="center"/>
            <w:tcMar>
              <w:top w:w="60" w:type="dxa"/>
              <w:start w:w="80" w:type="dxa"/>
              <w:bottom w:w="60" w:type="dxa"/>
              <w:end w:w="80" w:type="dxa"/>
            </w:tcMar>
          </w:tcPr>
          <w:p>
            <w:pPr>
              <w:spacing w:before="0" w:after="0" w:line="240" w:lineRule="auto"/>
              <w:jc w:val="center"/>
            </w:pPr>
            <w:r/>
            <w:r>
              <w:rPr>
                <w:rFonts w:ascii="Times New Roman" w:hAnsi="Times New Roman" w:eastAsia="宋体"/>
                <w:b w:val="0"/>
                <w:sz w:val="18"/>
              </w:rPr>
              <w:t>61.35%</w:t>
            </w:r>
          </w:p>
        </w:tc>
        <w:tc>
          <w:tcPr>
            <w:tcW w:type="dxa" w:w="1020"/>
            <w:vAlign w:val="center"/>
            <w:tcMar>
              <w:top w:w="60" w:type="dxa"/>
              <w:start w:w="80" w:type="dxa"/>
              <w:bottom w:w="60" w:type="dxa"/>
              <w:end w:w="80" w:type="dxa"/>
            </w:tcMar>
          </w:tcPr>
          <w:p>
            <w:pPr>
              <w:spacing w:before="0" w:after="0" w:line="240" w:lineRule="auto"/>
              <w:jc w:val="center"/>
            </w:pPr>
            <w:r/>
            <w:r>
              <w:rPr>
                <w:rFonts w:ascii="Times New Roman" w:hAnsi="Times New Roman" w:eastAsia="宋体"/>
                <w:b w:val="0"/>
                <w:sz w:val="18"/>
              </w:rPr>
              <w:t>-2.98</w:t>
            </w:r>
          </w:p>
        </w:tc>
      </w:tr>
      <w:tr>
        <w:trPr>
          <w:cantSplit/>
        </w:trPr>
        <w:tc>
          <w:tcPr>
            <w:tcW w:type="dxa" w:w="1531"/>
            <w:vAlign w:val="center"/>
            <w:tcMar>
              <w:top w:w="60" w:type="dxa"/>
              <w:start w:w="80" w:type="dxa"/>
              <w:bottom w:w="60" w:type="dxa"/>
              <w:end w:w="80" w:type="dxa"/>
            </w:tcMar>
          </w:tcPr>
          <w:p>
            <w:pPr>
              <w:spacing w:before="0" w:after="0" w:line="240" w:lineRule="auto"/>
              <w:jc w:val="left"/>
            </w:pPr>
            <w:r/>
            <w:r>
              <w:rPr>
                <w:rFonts w:ascii="Times New Roman" w:hAnsi="Times New Roman" w:eastAsia="宋体"/>
                <w:b w:val="0"/>
                <w:sz w:val="18"/>
              </w:rPr>
              <w:t>医学免疫学</w:t>
            </w:r>
          </w:p>
        </w:tc>
        <w:tc>
          <w:tcPr>
            <w:tcW w:type="dxa" w:w="1134"/>
            <w:vAlign w:val="center"/>
            <w:tcMar>
              <w:top w:w="60" w:type="dxa"/>
              <w:start w:w="80" w:type="dxa"/>
              <w:bottom w:w="60" w:type="dxa"/>
              <w:end w:w="80" w:type="dxa"/>
            </w:tcMar>
          </w:tcPr>
          <w:p>
            <w:pPr>
              <w:spacing w:before="0" w:after="0" w:line="240" w:lineRule="auto"/>
              <w:jc w:val="center"/>
            </w:pPr>
            <w:r/>
            <w:r>
              <w:rPr>
                <w:rFonts w:ascii="Times New Roman" w:hAnsi="Times New Roman" w:eastAsia="宋体"/>
                <w:b w:val="0"/>
                <w:sz w:val="18"/>
              </w:rPr>
              <w:t>64.00%</w:t>
            </w:r>
          </w:p>
        </w:tc>
        <w:tc>
          <w:tcPr>
            <w:tcW w:type="dxa" w:w="1020"/>
            <w:vAlign w:val="center"/>
            <w:tcMar>
              <w:top w:w="60" w:type="dxa"/>
              <w:start w:w="80" w:type="dxa"/>
              <w:bottom w:w="60" w:type="dxa"/>
              <w:end w:w="80" w:type="dxa"/>
            </w:tcMar>
          </w:tcPr>
          <w:p>
            <w:pPr>
              <w:spacing w:before="0" w:after="0" w:line="240" w:lineRule="auto"/>
              <w:jc w:val="center"/>
            </w:pPr>
            <w:r/>
            <w:r>
              <w:rPr>
                <w:rFonts w:ascii="Times New Roman" w:hAnsi="Times New Roman" w:eastAsia="宋体"/>
                <w:b w:val="0"/>
                <w:sz w:val="18"/>
              </w:rPr>
              <w:t>+0.33</w:t>
            </w:r>
          </w:p>
        </w:tc>
        <w:tc>
          <w:tcPr>
            <w:tcW w:type="dxa" w:w="1134"/>
            <w:vAlign w:val="center"/>
            <w:tcMar>
              <w:top w:w="60" w:type="dxa"/>
              <w:start w:w="80" w:type="dxa"/>
              <w:bottom w:w="60" w:type="dxa"/>
              <w:end w:w="80" w:type="dxa"/>
            </w:tcMar>
          </w:tcPr>
          <w:p>
            <w:pPr>
              <w:spacing w:before="0" w:after="0" w:line="240" w:lineRule="auto"/>
              <w:jc w:val="center"/>
            </w:pPr>
            <w:r/>
            <w:r>
              <w:rPr>
                <w:rFonts w:ascii="Times New Roman" w:hAnsi="Times New Roman" w:eastAsia="宋体"/>
                <w:b w:val="0"/>
                <w:sz w:val="18"/>
              </w:rPr>
              <w:t>52.91%</w:t>
            </w:r>
          </w:p>
        </w:tc>
        <w:tc>
          <w:tcPr>
            <w:tcW w:type="dxa" w:w="1020"/>
            <w:vAlign w:val="center"/>
            <w:tcMar>
              <w:top w:w="60" w:type="dxa"/>
              <w:start w:w="80" w:type="dxa"/>
              <w:bottom w:w="60" w:type="dxa"/>
              <w:end w:w="80" w:type="dxa"/>
            </w:tcMar>
          </w:tcPr>
          <w:p>
            <w:pPr>
              <w:spacing w:before="0" w:after="0" w:line="240" w:lineRule="auto"/>
              <w:jc w:val="center"/>
            </w:pPr>
            <w:r/>
            <w:r>
              <w:rPr>
                <w:rFonts w:ascii="Times New Roman" w:hAnsi="Times New Roman" w:eastAsia="宋体"/>
                <w:b w:val="0"/>
                <w:sz w:val="18"/>
              </w:rPr>
              <w:t>+0.46</w:t>
            </w:r>
          </w:p>
        </w:tc>
        <w:tc>
          <w:tcPr>
            <w:tcW w:type="dxa" w:w="1134"/>
            <w:vAlign w:val="center"/>
            <w:tcMar>
              <w:top w:w="60" w:type="dxa"/>
              <w:start w:w="80" w:type="dxa"/>
              <w:bottom w:w="60" w:type="dxa"/>
              <w:end w:w="80" w:type="dxa"/>
            </w:tcMar>
          </w:tcPr>
          <w:p>
            <w:pPr>
              <w:spacing w:before="0" w:after="0" w:line="240" w:lineRule="auto"/>
              <w:jc w:val="center"/>
            </w:pPr>
            <w:r/>
            <w:r>
              <w:rPr>
                <w:rFonts w:ascii="Times New Roman" w:hAnsi="Times New Roman" w:eastAsia="宋体"/>
                <w:b w:val="0"/>
                <w:sz w:val="18"/>
              </w:rPr>
              <w:t>40.48%</w:t>
            </w:r>
          </w:p>
        </w:tc>
        <w:tc>
          <w:tcPr>
            <w:tcW w:type="dxa" w:w="1020"/>
            <w:vAlign w:val="center"/>
            <w:tcMar>
              <w:top w:w="60" w:type="dxa"/>
              <w:start w:w="80" w:type="dxa"/>
              <w:bottom w:w="60" w:type="dxa"/>
              <w:end w:w="80" w:type="dxa"/>
            </w:tcMar>
          </w:tcPr>
          <w:p>
            <w:pPr>
              <w:spacing w:before="0" w:after="0" w:line="240" w:lineRule="auto"/>
              <w:jc w:val="center"/>
            </w:pPr>
            <w:r/>
            <w:r>
              <w:rPr>
                <w:rFonts w:ascii="Times New Roman" w:hAnsi="Times New Roman" w:eastAsia="宋体"/>
                <w:b w:val="0"/>
                <w:sz w:val="18"/>
              </w:rPr>
              <w:t>-5.63</w:t>
            </w:r>
          </w:p>
        </w:tc>
      </w:tr>
      <w:tr>
        <w:trPr>
          <w:cantSplit/>
        </w:trPr>
        <w:tc>
          <w:tcPr>
            <w:tcW w:type="dxa" w:w="1531"/>
            <w:vAlign w:val="center"/>
            <w:tcMar>
              <w:top w:w="60" w:type="dxa"/>
              <w:start w:w="80" w:type="dxa"/>
              <w:bottom w:w="60" w:type="dxa"/>
              <w:end w:w="80" w:type="dxa"/>
            </w:tcMar>
          </w:tcPr>
          <w:p>
            <w:pPr>
              <w:spacing w:before="0" w:after="0" w:line="240" w:lineRule="auto"/>
              <w:jc w:val="left"/>
            </w:pPr>
            <w:r/>
            <w:r>
              <w:rPr>
                <w:rFonts w:ascii="Times New Roman" w:hAnsi="Times New Roman" w:eastAsia="宋体"/>
                <w:b w:val="0"/>
                <w:sz w:val="18"/>
              </w:rPr>
              <w:t>医学微生物学</w:t>
            </w:r>
          </w:p>
        </w:tc>
        <w:tc>
          <w:tcPr>
            <w:tcW w:type="dxa" w:w="1134"/>
            <w:vAlign w:val="center"/>
            <w:tcMar>
              <w:top w:w="60" w:type="dxa"/>
              <w:start w:w="80" w:type="dxa"/>
              <w:bottom w:w="60" w:type="dxa"/>
              <w:end w:w="80" w:type="dxa"/>
            </w:tcMar>
          </w:tcPr>
          <w:p>
            <w:pPr>
              <w:spacing w:before="0" w:after="0" w:line="240" w:lineRule="auto"/>
              <w:jc w:val="center"/>
            </w:pPr>
            <w:r/>
            <w:r>
              <w:rPr>
                <w:rFonts w:ascii="Times New Roman" w:hAnsi="Times New Roman" w:eastAsia="宋体"/>
                <w:b w:val="0"/>
                <w:sz w:val="18"/>
              </w:rPr>
              <w:t>51.33%</w:t>
            </w:r>
          </w:p>
        </w:tc>
        <w:tc>
          <w:tcPr>
            <w:tcW w:type="dxa" w:w="1020"/>
            <w:vAlign w:val="center"/>
            <w:tcMar>
              <w:top w:w="60" w:type="dxa"/>
              <w:start w:w="80" w:type="dxa"/>
              <w:bottom w:w="60" w:type="dxa"/>
              <w:end w:w="80" w:type="dxa"/>
            </w:tcMar>
          </w:tcPr>
          <w:p>
            <w:pPr>
              <w:spacing w:before="0" w:after="0" w:line="240" w:lineRule="auto"/>
              <w:jc w:val="center"/>
            </w:pPr>
            <w:r/>
            <w:r>
              <w:rPr>
                <w:rFonts w:ascii="Times New Roman" w:hAnsi="Times New Roman" w:eastAsia="宋体"/>
                <w:b w:val="0"/>
                <w:sz w:val="18"/>
              </w:rPr>
              <w:t>+0.66</w:t>
            </w:r>
          </w:p>
        </w:tc>
        <w:tc>
          <w:tcPr>
            <w:tcW w:type="dxa" w:w="1134"/>
            <w:vAlign w:val="center"/>
            <w:tcMar>
              <w:top w:w="60" w:type="dxa"/>
              <w:start w:w="80" w:type="dxa"/>
              <w:bottom w:w="60" w:type="dxa"/>
              <w:end w:w="80" w:type="dxa"/>
            </w:tcMar>
          </w:tcPr>
          <w:p>
            <w:pPr>
              <w:spacing w:before="0" w:after="0" w:line="240" w:lineRule="auto"/>
              <w:jc w:val="center"/>
            </w:pPr>
            <w:r/>
            <w:r>
              <w:rPr>
                <w:rFonts w:ascii="Times New Roman" w:hAnsi="Times New Roman" w:eastAsia="宋体"/>
                <w:b w:val="0"/>
                <w:sz w:val="18"/>
              </w:rPr>
              <w:t>61.57%</w:t>
            </w:r>
          </w:p>
        </w:tc>
        <w:tc>
          <w:tcPr>
            <w:tcW w:type="dxa" w:w="1020"/>
            <w:vAlign w:val="center"/>
            <w:tcMar>
              <w:top w:w="60" w:type="dxa"/>
              <w:start w:w="80" w:type="dxa"/>
              <w:bottom w:w="60" w:type="dxa"/>
              <w:end w:w="80" w:type="dxa"/>
            </w:tcMar>
          </w:tcPr>
          <w:p>
            <w:pPr>
              <w:spacing w:before="0" w:after="0" w:line="240" w:lineRule="auto"/>
              <w:jc w:val="center"/>
            </w:pPr>
            <w:r/>
            <w:r>
              <w:rPr>
                <w:rFonts w:ascii="Times New Roman" w:hAnsi="Times New Roman" w:eastAsia="宋体"/>
                <w:b w:val="0"/>
                <w:sz w:val="18"/>
              </w:rPr>
              <w:t>-0.05</w:t>
            </w:r>
          </w:p>
        </w:tc>
        <w:tc>
          <w:tcPr>
            <w:tcW w:type="dxa" w:w="1134"/>
            <w:vAlign w:val="center"/>
            <w:tcMar>
              <w:top w:w="60" w:type="dxa"/>
              <w:start w:w="80" w:type="dxa"/>
              <w:bottom w:w="60" w:type="dxa"/>
              <w:end w:w="80" w:type="dxa"/>
            </w:tcMar>
          </w:tcPr>
          <w:p>
            <w:pPr>
              <w:spacing w:before="0" w:after="0" w:line="240" w:lineRule="auto"/>
              <w:jc w:val="center"/>
            </w:pPr>
            <w:r/>
            <w:r>
              <w:rPr>
                <w:rFonts w:ascii="Times New Roman" w:hAnsi="Times New Roman" w:eastAsia="宋体"/>
                <w:b w:val="0"/>
                <w:sz w:val="18"/>
              </w:rPr>
              <w:t>57.96%</w:t>
            </w:r>
          </w:p>
        </w:tc>
        <w:tc>
          <w:tcPr>
            <w:tcW w:type="dxa" w:w="1020"/>
            <w:vAlign w:val="center"/>
            <w:tcMar>
              <w:top w:w="60" w:type="dxa"/>
              <w:start w:w="80" w:type="dxa"/>
              <w:bottom w:w="60" w:type="dxa"/>
              <w:end w:w="80" w:type="dxa"/>
            </w:tcMar>
          </w:tcPr>
          <w:p>
            <w:pPr>
              <w:spacing w:before="0" w:after="0" w:line="240" w:lineRule="auto"/>
              <w:jc w:val="center"/>
            </w:pPr>
            <w:r/>
            <w:r>
              <w:rPr>
                <w:rFonts w:ascii="Times New Roman" w:hAnsi="Times New Roman" w:eastAsia="宋体"/>
                <w:b w:val="0"/>
                <w:sz w:val="18"/>
              </w:rPr>
              <w:t>-1.24</w:t>
            </w:r>
          </w:p>
        </w:tc>
      </w:tr>
    </w:tbl>
    <w:p>
      <w:pPr>
        <w:spacing w:after="0"/>
      </w:pPr>
    </w:p>
    <w:p>
      <w:pPr>
        <w:spacing w:lineRule="exact" w:line="560" w:before="0" w:after="0"/>
        <w:ind w:firstLine="640"/>
        <w:jc w:val="both"/>
      </w:pPr>
      <w:r>
        <w:rPr>
          <w:rFonts w:ascii="Times New Roman" w:hAnsi="Times New Roman" w:eastAsia="仿宋_GB2312"/>
          <w:b w:val="0"/>
          <w:sz w:val="32"/>
        </w:rPr>
        <w:t>（1）解剖学连续三年低于全国平均水平，与全国的差距分别为3.56、4.12和5.26个百分点，表现为持续性相对薄弱。2025年原始掌握率较2024年有所回升，但与全国差距继续扩大，仍应作为基础医学重点改进学科。</w:t>
      </w:r>
    </w:p>
    <w:p>
      <w:pPr>
        <w:spacing w:lineRule="exact" w:line="560" w:before="0" w:after="0"/>
        <w:ind w:firstLine="640"/>
        <w:jc w:val="both"/>
      </w:pPr>
      <w:r>
        <w:rPr>
          <w:rFonts w:ascii="Times New Roman" w:hAnsi="Times New Roman" w:eastAsia="仿宋_GB2312"/>
          <w:b w:val="0"/>
          <w:sz w:val="32"/>
        </w:rPr>
        <w:t>（2）医学免疫学在2023年和2024年分别高于全国0.33和0.46个百分点，2025年低于全国5.63个百分点，年度变化较为明显。学校应组织课程组开展专项分析，重点检查课程目标、教学内容、学时安排、师资变化、校内考核和学生学习情况，形成有针对性的改进方案。</w:t>
      </w:r>
    </w:p>
    <w:p>
      <w:pPr>
        <w:spacing w:lineRule="exact" w:line="560" w:before="0" w:after="0"/>
        <w:ind w:firstLine="640"/>
        <w:jc w:val="both"/>
      </w:pPr>
      <w:r>
        <w:rPr>
          <w:rFonts w:ascii="Times New Roman" w:hAnsi="Times New Roman" w:eastAsia="仿宋_GB2312"/>
          <w:b w:val="0"/>
          <w:sz w:val="32"/>
        </w:rPr>
        <w:t>（3）药理学原始掌握率逐年提高，但2025年与全国差距扩大至2.98个百分点；病理生理学2025年低于全国2.24个百分点。上述学科应进一步加强临床情境中的知识应用和综合分析训练。</w:t>
      </w:r>
    </w:p>
    <w:p>
      <w:pPr>
        <w:spacing w:lineRule="exact" w:line="560" w:before="0" w:after="0"/>
        <w:ind w:firstLine="640"/>
        <w:jc w:val="both"/>
      </w:pPr>
      <w:r>
        <w:rPr>
          <w:rFonts w:ascii="Times New Roman" w:hAnsi="Times New Roman" w:eastAsia="仿宋_GB2312"/>
          <w:b w:val="0"/>
          <w:sz w:val="32"/>
        </w:rPr>
        <w:t>（4）生理学和医学微生物学总体接近全国平均水平。生理学2023年高于全国0.92个百分点，2024年和2025年分别低于全国0.29和0.59个百分点；医学微生物学三年差值分别为+0.66、-0.05和-1.24个百分点。应巩固现有基础并关注年度变化。</w:t>
      </w:r>
    </w:p>
    <w:p>
      <w:pPr>
        <w:pStyle w:val="Heading2"/>
        <w:keepNext/>
        <w:spacing w:before="120" w:after="40" w:lineRule="exact" w:line="560"/>
        <w:jc w:val="left"/>
      </w:pPr>
      <w:r>
        <w:rPr>
          <w:rFonts w:ascii="Times New Roman" w:hAnsi="Times New Roman" w:eastAsia="黑体"/>
          <w:b/>
          <w:sz w:val="32"/>
        </w:rPr>
        <w:t>3.3 临床医学模块</w:t>
      </w:r>
    </w:p>
    <w:p>
      <w:pPr>
        <w:spacing w:before="120" w:after="80"/>
        <w:jc w:val="center"/>
      </w:pPr>
      <w:r>
        <w:rPr>
          <w:rFonts w:ascii="Times New Roman" w:hAnsi="Times New Roman" w:eastAsia="宋体"/>
          <w:b/>
          <w:sz w:val="24"/>
        </w:rPr>
        <w:t>表8  临床医学主要学科或专业知识点掌握率及与全国差值</w:t>
      </w:r>
    </w:p>
    <w:tbl>
      <w:tblPr>
        <w:tblStyle w:val="TableGrid"/>
        <w:tblW w:type="dxa" w:w="9072"/>
        <w:jc w:val="center"/>
        <w:tblLayout w:type="autofit"/>
        <w:tblLook w:firstColumn="1" w:firstRow="1" w:lastColumn="0" w:lastRow="0" w:noHBand="0" w:noVBand="1" w:val="04A0"/>
      </w:tblPr>
      <w:tblGrid>
        <w:gridCol w:w="1264"/>
        <w:gridCol w:w="1264"/>
        <w:gridCol w:w="1264"/>
        <w:gridCol w:w="1264"/>
        <w:gridCol w:w="1264"/>
        <w:gridCol w:w="1264"/>
        <w:gridCol w:w="1264"/>
      </w:tblGrid>
      <w:tr>
        <w:trPr>
          <w:tblHeader w:val="true"/>
          <w:cantSplit/>
        </w:trPr>
        <w:tc>
          <w:tcPr>
            <w:tcW w:type="dxa" w:w="1474"/>
            <w:vAlign w:val="center"/>
            <w:shd w:fill="D9E2F3"/>
            <w:tcMar>
              <w:top w:w="60" w:type="dxa"/>
              <w:start w:w="80" w:type="dxa"/>
              <w:bottom w:w="60" w:type="dxa"/>
              <w:end w:w="80" w:type="dxa"/>
            </w:tcMar>
          </w:tcPr>
          <w:p>
            <w:pPr>
              <w:spacing w:before="0" w:after="0" w:line="240" w:lineRule="auto"/>
              <w:jc w:val="center"/>
            </w:pPr>
            <w:r/>
            <w:r>
              <w:rPr>
                <w:rFonts w:ascii="Times New Roman" w:hAnsi="Times New Roman" w:eastAsia="宋体"/>
                <w:b/>
                <w:sz w:val="17"/>
              </w:rPr>
              <w:t>学科或知识点</w:t>
            </w:r>
          </w:p>
        </w:tc>
        <w:tc>
          <w:tcPr>
            <w:tcW w:type="dxa" w:w="1134"/>
            <w:vAlign w:val="center"/>
            <w:shd w:fill="D9E2F3"/>
            <w:tcMar>
              <w:top w:w="60" w:type="dxa"/>
              <w:start w:w="80" w:type="dxa"/>
              <w:bottom w:w="60" w:type="dxa"/>
              <w:end w:w="80" w:type="dxa"/>
            </w:tcMar>
          </w:tcPr>
          <w:p>
            <w:pPr>
              <w:spacing w:before="0" w:after="0" w:line="240" w:lineRule="auto"/>
              <w:jc w:val="center"/>
            </w:pPr>
            <w:r/>
            <w:r>
              <w:rPr>
                <w:rFonts w:ascii="Times New Roman" w:hAnsi="Times New Roman" w:eastAsia="宋体"/>
                <w:b/>
                <w:sz w:val="17"/>
              </w:rPr>
              <w:t>2023年本校</w:t>
            </w:r>
          </w:p>
        </w:tc>
        <w:tc>
          <w:tcPr>
            <w:tcW w:type="dxa" w:w="964"/>
            <w:vAlign w:val="center"/>
            <w:shd w:fill="D9E2F3"/>
            <w:tcMar>
              <w:top w:w="60" w:type="dxa"/>
              <w:start w:w="80" w:type="dxa"/>
              <w:bottom w:w="60" w:type="dxa"/>
              <w:end w:w="80" w:type="dxa"/>
            </w:tcMar>
          </w:tcPr>
          <w:p>
            <w:pPr>
              <w:spacing w:before="0" w:after="0" w:line="240" w:lineRule="auto"/>
              <w:jc w:val="center"/>
            </w:pPr>
            <w:r/>
            <w:r>
              <w:rPr>
                <w:rFonts w:ascii="Times New Roman" w:hAnsi="Times New Roman" w:eastAsia="宋体"/>
                <w:b/>
                <w:sz w:val="17"/>
              </w:rPr>
              <w:t>2023年差值</w:t>
            </w:r>
          </w:p>
        </w:tc>
        <w:tc>
          <w:tcPr>
            <w:tcW w:type="dxa" w:w="1134"/>
            <w:vAlign w:val="center"/>
            <w:shd w:fill="D9E2F3"/>
            <w:tcMar>
              <w:top w:w="60" w:type="dxa"/>
              <w:start w:w="80" w:type="dxa"/>
              <w:bottom w:w="60" w:type="dxa"/>
              <w:end w:w="80" w:type="dxa"/>
            </w:tcMar>
          </w:tcPr>
          <w:p>
            <w:pPr>
              <w:spacing w:before="0" w:after="0" w:line="240" w:lineRule="auto"/>
              <w:jc w:val="center"/>
            </w:pPr>
            <w:r/>
            <w:r>
              <w:rPr>
                <w:rFonts w:ascii="Times New Roman" w:hAnsi="Times New Roman" w:eastAsia="宋体"/>
                <w:b/>
                <w:sz w:val="17"/>
              </w:rPr>
              <w:t>2024年本校</w:t>
            </w:r>
          </w:p>
        </w:tc>
        <w:tc>
          <w:tcPr>
            <w:tcW w:type="dxa" w:w="964"/>
            <w:vAlign w:val="center"/>
            <w:shd w:fill="D9E2F3"/>
            <w:tcMar>
              <w:top w:w="60" w:type="dxa"/>
              <w:start w:w="80" w:type="dxa"/>
              <w:bottom w:w="60" w:type="dxa"/>
              <w:end w:w="80" w:type="dxa"/>
            </w:tcMar>
          </w:tcPr>
          <w:p>
            <w:pPr>
              <w:spacing w:before="0" w:after="0" w:line="240" w:lineRule="auto"/>
              <w:jc w:val="center"/>
            </w:pPr>
            <w:r/>
            <w:r>
              <w:rPr>
                <w:rFonts w:ascii="Times New Roman" w:hAnsi="Times New Roman" w:eastAsia="宋体"/>
                <w:b/>
                <w:sz w:val="17"/>
              </w:rPr>
              <w:t>2024年差值</w:t>
            </w:r>
          </w:p>
        </w:tc>
        <w:tc>
          <w:tcPr>
            <w:tcW w:type="dxa" w:w="1134"/>
            <w:vAlign w:val="center"/>
            <w:shd w:fill="D9E2F3"/>
            <w:tcMar>
              <w:top w:w="60" w:type="dxa"/>
              <w:start w:w="80" w:type="dxa"/>
              <w:bottom w:w="60" w:type="dxa"/>
              <w:end w:w="80" w:type="dxa"/>
            </w:tcMar>
          </w:tcPr>
          <w:p>
            <w:pPr>
              <w:spacing w:before="0" w:after="0" w:line="240" w:lineRule="auto"/>
              <w:jc w:val="center"/>
            </w:pPr>
            <w:r/>
            <w:r>
              <w:rPr>
                <w:rFonts w:ascii="Times New Roman" w:hAnsi="Times New Roman" w:eastAsia="宋体"/>
                <w:b/>
                <w:sz w:val="17"/>
              </w:rPr>
              <w:t>2025年本校</w:t>
            </w:r>
          </w:p>
        </w:tc>
        <w:tc>
          <w:tcPr>
            <w:tcW w:type="dxa" w:w="964"/>
            <w:vAlign w:val="center"/>
            <w:shd w:fill="D9E2F3"/>
            <w:tcMar>
              <w:top w:w="60" w:type="dxa"/>
              <w:start w:w="80" w:type="dxa"/>
              <w:bottom w:w="60" w:type="dxa"/>
              <w:end w:w="80" w:type="dxa"/>
            </w:tcMar>
          </w:tcPr>
          <w:p>
            <w:pPr>
              <w:spacing w:before="0" w:after="0" w:line="240" w:lineRule="auto"/>
              <w:jc w:val="center"/>
            </w:pPr>
            <w:r/>
            <w:r>
              <w:rPr>
                <w:rFonts w:ascii="Times New Roman" w:hAnsi="Times New Roman" w:eastAsia="宋体"/>
                <w:b/>
                <w:sz w:val="17"/>
              </w:rPr>
              <w:t>2025年差值</w:t>
            </w:r>
          </w:p>
        </w:tc>
      </w:tr>
      <w:tr>
        <w:trPr>
          <w:cantSplit/>
        </w:trPr>
        <w:tc>
          <w:tcPr>
            <w:tcW w:type="dxa" w:w="1474"/>
            <w:vAlign w:val="center"/>
            <w:tcMar>
              <w:top w:w="60" w:type="dxa"/>
              <w:start w:w="80" w:type="dxa"/>
              <w:bottom w:w="60" w:type="dxa"/>
              <w:end w:w="80" w:type="dxa"/>
            </w:tcMar>
          </w:tcPr>
          <w:p>
            <w:pPr>
              <w:spacing w:before="0" w:after="0" w:line="240" w:lineRule="auto"/>
              <w:jc w:val="left"/>
            </w:pPr>
            <w:r/>
            <w:r>
              <w:rPr>
                <w:rFonts w:ascii="Times New Roman" w:hAnsi="Times New Roman" w:eastAsia="宋体"/>
                <w:b w:val="0"/>
                <w:sz w:val="17"/>
              </w:rPr>
              <w:t>内科学</w:t>
            </w:r>
          </w:p>
        </w:tc>
        <w:tc>
          <w:tcPr>
            <w:tcW w:type="dxa" w:w="1134"/>
            <w:vAlign w:val="center"/>
            <w:tcMar>
              <w:top w:w="60" w:type="dxa"/>
              <w:start w:w="80" w:type="dxa"/>
              <w:bottom w:w="60" w:type="dxa"/>
              <w:end w:w="80" w:type="dxa"/>
            </w:tcMar>
          </w:tcPr>
          <w:p>
            <w:pPr>
              <w:spacing w:before="0" w:after="0" w:line="240" w:lineRule="auto"/>
              <w:jc w:val="center"/>
            </w:pPr>
            <w:r/>
            <w:r>
              <w:rPr>
                <w:rFonts w:ascii="Times New Roman" w:hAnsi="Times New Roman" w:eastAsia="宋体"/>
                <w:b w:val="0"/>
                <w:sz w:val="17"/>
              </w:rPr>
              <w:t>64.36%</w:t>
            </w:r>
          </w:p>
        </w:tc>
        <w:tc>
          <w:tcPr>
            <w:tcW w:type="dxa" w:w="964"/>
            <w:vAlign w:val="center"/>
            <w:tcMar>
              <w:top w:w="60" w:type="dxa"/>
              <w:start w:w="80" w:type="dxa"/>
              <w:bottom w:w="60" w:type="dxa"/>
              <w:end w:w="80" w:type="dxa"/>
            </w:tcMar>
          </w:tcPr>
          <w:p>
            <w:pPr>
              <w:spacing w:before="0" w:after="0" w:line="240" w:lineRule="auto"/>
              <w:jc w:val="center"/>
            </w:pPr>
            <w:r/>
            <w:r>
              <w:rPr>
                <w:rFonts w:ascii="Times New Roman" w:hAnsi="Times New Roman" w:eastAsia="宋体"/>
                <w:b w:val="0"/>
                <w:sz w:val="17"/>
              </w:rPr>
              <w:t>-0.67</w:t>
            </w:r>
          </w:p>
        </w:tc>
        <w:tc>
          <w:tcPr>
            <w:tcW w:type="dxa" w:w="1134"/>
            <w:vAlign w:val="center"/>
            <w:tcMar>
              <w:top w:w="60" w:type="dxa"/>
              <w:start w:w="80" w:type="dxa"/>
              <w:bottom w:w="60" w:type="dxa"/>
              <w:end w:w="80" w:type="dxa"/>
            </w:tcMar>
          </w:tcPr>
          <w:p>
            <w:pPr>
              <w:spacing w:before="0" w:after="0" w:line="240" w:lineRule="auto"/>
              <w:jc w:val="center"/>
            </w:pPr>
            <w:r/>
            <w:r>
              <w:rPr>
                <w:rFonts w:ascii="Times New Roman" w:hAnsi="Times New Roman" w:eastAsia="宋体"/>
                <w:b w:val="0"/>
                <w:sz w:val="17"/>
              </w:rPr>
              <w:t>72.79%</w:t>
            </w:r>
          </w:p>
        </w:tc>
        <w:tc>
          <w:tcPr>
            <w:tcW w:type="dxa" w:w="964"/>
            <w:vAlign w:val="center"/>
            <w:tcMar>
              <w:top w:w="60" w:type="dxa"/>
              <w:start w:w="80" w:type="dxa"/>
              <w:bottom w:w="60" w:type="dxa"/>
              <w:end w:w="80" w:type="dxa"/>
            </w:tcMar>
          </w:tcPr>
          <w:p>
            <w:pPr>
              <w:spacing w:before="0" w:after="0" w:line="240" w:lineRule="auto"/>
              <w:jc w:val="center"/>
            </w:pPr>
            <w:r/>
            <w:r>
              <w:rPr>
                <w:rFonts w:ascii="Times New Roman" w:hAnsi="Times New Roman" w:eastAsia="宋体"/>
                <w:b w:val="0"/>
                <w:sz w:val="17"/>
              </w:rPr>
              <w:t>+0.33</w:t>
            </w:r>
          </w:p>
        </w:tc>
        <w:tc>
          <w:tcPr>
            <w:tcW w:type="dxa" w:w="1134"/>
            <w:vAlign w:val="center"/>
            <w:tcMar>
              <w:top w:w="60" w:type="dxa"/>
              <w:start w:w="80" w:type="dxa"/>
              <w:bottom w:w="60" w:type="dxa"/>
              <w:end w:w="80" w:type="dxa"/>
            </w:tcMar>
          </w:tcPr>
          <w:p>
            <w:pPr>
              <w:spacing w:before="0" w:after="0" w:line="240" w:lineRule="auto"/>
              <w:jc w:val="center"/>
            </w:pPr>
            <w:r/>
            <w:r>
              <w:rPr>
                <w:rFonts w:ascii="Times New Roman" w:hAnsi="Times New Roman" w:eastAsia="宋体"/>
                <w:b w:val="0"/>
                <w:sz w:val="17"/>
              </w:rPr>
              <w:t>68.93%</w:t>
            </w:r>
          </w:p>
        </w:tc>
        <w:tc>
          <w:tcPr>
            <w:tcW w:type="dxa" w:w="964"/>
            <w:vAlign w:val="center"/>
            <w:tcMar>
              <w:top w:w="60" w:type="dxa"/>
              <w:start w:w="80" w:type="dxa"/>
              <w:bottom w:w="60" w:type="dxa"/>
              <w:end w:w="80" w:type="dxa"/>
            </w:tcMar>
          </w:tcPr>
          <w:p>
            <w:pPr>
              <w:spacing w:before="0" w:after="0" w:line="240" w:lineRule="auto"/>
              <w:jc w:val="center"/>
            </w:pPr>
            <w:r/>
            <w:r>
              <w:rPr>
                <w:rFonts w:ascii="Times New Roman" w:hAnsi="Times New Roman" w:eastAsia="宋体"/>
                <w:b w:val="0"/>
                <w:sz w:val="17"/>
              </w:rPr>
              <w:t>-1.50</w:t>
            </w:r>
          </w:p>
        </w:tc>
      </w:tr>
      <w:tr>
        <w:trPr>
          <w:cantSplit/>
        </w:trPr>
        <w:tc>
          <w:tcPr>
            <w:tcW w:type="dxa" w:w="1474"/>
            <w:vAlign w:val="center"/>
            <w:tcMar>
              <w:top w:w="60" w:type="dxa"/>
              <w:start w:w="80" w:type="dxa"/>
              <w:bottom w:w="60" w:type="dxa"/>
              <w:end w:w="80" w:type="dxa"/>
            </w:tcMar>
          </w:tcPr>
          <w:p>
            <w:pPr>
              <w:spacing w:before="0" w:after="0" w:line="240" w:lineRule="auto"/>
              <w:jc w:val="left"/>
            </w:pPr>
            <w:r/>
            <w:r>
              <w:rPr>
                <w:rFonts w:ascii="Times New Roman" w:hAnsi="Times New Roman" w:eastAsia="宋体"/>
                <w:b w:val="0"/>
                <w:sz w:val="17"/>
              </w:rPr>
              <w:t>神经内科</w:t>
            </w:r>
          </w:p>
        </w:tc>
        <w:tc>
          <w:tcPr>
            <w:tcW w:type="dxa" w:w="1134"/>
            <w:vAlign w:val="center"/>
            <w:tcMar>
              <w:top w:w="60" w:type="dxa"/>
              <w:start w:w="80" w:type="dxa"/>
              <w:bottom w:w="60" w:type="dxa"/>
              <w:end w:w="80" w:type="dxa"/>
            </w:tcMar>
          </w:tcPr>
          <w:p>
            <w:pPr>
              <w:spacing w:before="0" w:after="0" w:line="240" w:lineRule="auto"/>
              <w:jc w:val="center"/>
            </w:pPr>
            <w:r/>
            <w:r>
              <w:rPr>
                <w:rFonts w:ascii="Times New Roman" w:hAnsi="Times New Roman" w:eastAsia="宋体"/>
                <w:b w:val="0"/>
                <w:sz w:val="17"/>
              </w:rPr>
              <w:t>—</w:t>
            </w:r>
          </w:p>
        </w:tc>
        <w:tc>
          <w:tcPr>
            <w:tcW w:type="dxa" w:w="964"/>
            <w:vAlign w:val="center"/>
            <w:tcMar>
              <w:top w:w="60" w:type="dxa"/>
              <w:start w:w="80" w:type="dxa"/>
              <w:bottom w:w="60" w:type="dxa"/>
              <w:end w:w="80" w:type="dxa"/>
            </w:tcMar>
          </w:tcPr>
          <w:p>
            <w:pPr>
              <w:spacing w:before="0" w:after="0" w:line="240" w:lineRule="auto"/>
              <w:jc w:val="center"/>
            </w:pPr>
            <w:r/>
            <w:r>
              <w:rPr>
                <w:rFonts w:ascii="Times New Roman" w:hAnsi="Times New Roman" w:eastAsia="宋体"/>
                <w:b w:val="0"/>
                <w:sz w:val="17"/>
              </w:rPr>
              <w:t>—</w:t>
            </w:r>
          </w:p>
        </w:tc>
        <w:tc>
          <w:tcPr>
            <w:tcW w:type="dxa" w:w="1134"/>
            <w:vAlign w:val="center"/>
            <w:tcMar>
              <w:top w:w="60" w:type="dxa"/>
              <w:start w:w="80" w:type="dxa"/>
              <w:bottom w:w="60" w:type="dxa"/>
              <w:end w:w="80" w:type="dxa"/>
            </w:tcMar>
          </w:tcPr>
          <w:p>
            <w:pPr>
              <w:spacing w:before="0" w:after="0" w:line="240" w:lineRule="auto"/>
              <w:jc w:val="center"/>
            </w:pPr>
            <w:r/>
            <w:r>
              <w:rPr>
                <w:rFonts w:ascii="Times New Roman" w:hAnsi="Times New Roman" w:eastAsia="宋体"/>
                <w:b w:val="0"/>
                <w:sz w:val="17"/>
              </w:rPr>
              <w:t>62.34%</w:t>
            </w:r>
          </w:p>
        </w:tc>
        <w:tc>
          <w:tcPr>
            <w:tcW w:type="dxa" w:w="964"/>
            <w:vAlign w:val="center"/>
            <w:tcMar>
              <w:top w:w="60" w:type="dxa"/>
              <w:start w:w="80" w:type="dxa"/>
              <w:bottom w:w="60" w:type="dxa"/>
              <w:end w:w="80" w:type="dxa"/>
            </w:tcMar>
          </w:tcPr>
          <w:p>
            <w:pPr>
              <w:spacing w:before="0" w:after="0" w:line="240" w:lineRule="auto"/>
              <w:jc w:val="center"/>
            </w:pPr>
            <w:r/>
            <w:r>
              <w:rPr>
                <w:rFonts w:ascii="Times New Roman" w:hAnsi="Times New Roman" w:eastAsia="宋体"/>
                <w:b w:val="0"/>
                <w:sz w:val="17"/>
              </w:rPr>
              <w:t>-1.67</w:t>
            </w:r>
          </w:p>
        </w:tc>
        <w:tc>
          <w:tcPr>
            <w:tcW w:type="dxa" w:w="1134"/>
            <w:vAlign w:val="center"/>
            <w:tcMar>
              <w:top w:w="60" w:type="dxa"/>
              <w:start w:w="80" w:type="dxa"/>
              <w:bottom w:w="60" w:type="dxa"/>
              <w:end w:w="80" w:type="dxa"/>
            </w:tcMar>
          </w:tcPr>
          <w:p>
            <w:pPr>
              <w:spacing w:before="0" w:after="0" w:line="240" w:lineRule="auto"/>
              <w:jc w:val="center"/>
            </w:pPr>
            <w:r/>
            <w:r>
              <w:rPr>
                <w:rFonts w:ascii="Times New Roman" w:hAnsi="Times New Roman" w:eastAsia="宋体"/>
                <w:b w:val="0"/>
                <w:sz w:val="17"/>
              </w:rPr>
              <w:t>64.79%</w:t>
            </w:r>
          </w:p>
        </w:tc>
        <w:tc>
          <w:tcPr>
            <w:tcW w:type="dxa" w:w="964"/>
            <w:vAlign w:val="center"/>
            <w:tcMar>
              <w:top w:w="60" w:type="dxa"/>
              <w:start w:w="80" w:type="dxa"/>
              <w:bottom w:w="60" w:type="dxa"/>
              <w:end w:w="80" w:type="dxa"/>
            </w:tcMar>
          </w:tcPr>
          <w:p>
            <w:pPr>
              <w:spacing w:before="0" w:after="0" w:line="240" w:lineRule="auto"/>
              <w:jc w:val="center"/>
            </w:pPr>
            <w:r/>
            <w:r>
              <w:rPr>
                <w:rFonts w:ascii="Times New Roman" w:hAnsi="Times New Roman" w:eastAsia="宋体"/>
                <w:b w:val="0"/>
                <w:sz w:val="17"/>
              </w:rPr>
              <w:t>-4.14</w:t>
            </w:r>
          </w:p>
        </w:tc>
      </w:tr>
      <w:tr>
        <w:trPr>
          <w:cantSplit/>
        </w:trPr>
        <w:tc>
          <w:tcPr>
            <w:tcW w:type="dxa" w:w="1474"/>
            <w:vAlign w:val="center"/>
            <w:tcMar>
              <w:top w:w="60" w:type="dxa"/>
              <w:start w:w="80" w:type="dxa"/>
              <w:bottom w:w="60" w:type="dxa"/>
              <w:end w:w="80" w:type="dxa"/>
            </w:tcMar>
          </w:tcPr>
          <w:p>
            <w:pPr>
              <w:spacing w:before="0" w:after="0" w:line="240" w:lineRule="auto"/>
              <w:jc w:val="left"/>
            </w:pPr>
            <w:r/>
            <w:r>
              <w:rPr>
                <w:rFonts w:ascii="Times New Roman" w:hAnsi="Times New Roman" w:eastAsia="宋体"/>
                <w:b w:val="0"/>
                <w:sz w:val="17"/>
              </w:rPr>
              <w:t>肾脏内科</w:t>
            </w:r>
          </w:p>
        </w:tc>
        <w:tc>
          <w:tcPr>
            <w:tcW w:type="dxa" w:w="1134"/>
            <w:vAlign w:val="center"/>
            <w:tcMar>
              <w:top w:w="60" w:type="dxa"/>
              <w:start w:w="80" w:type="dxa"/>
              <w:bottom w:w="60" w:type="dxa"/>
              <w:end w:w="80" w:type="dxa"/>
            </w:tcMar>
          </w:tcPr>
          <w:p>
            <w:pPr>
              <w:spacing w:before="0" w:after="0" w:line="240" w:lineRule="auto"/>
              <w:jc w:val="center"/>
            </w:pPr>
            <w:r/>
            <w:r>
              <w:rPr>
                <w:rFonts w:ascii="Times New Roman" w:hAnsi="Times New Roman" w:eastAsia="宋体"/>
                <w:b w:val="0"/>
                <w:sz w:val="17"/>
              </w:rPr>
              <w:t>—</w:t>
            </w:r>
          </w:p>
        </w:tc>
        <w:tc>
          <w:tcPr>
            <w:tcW w:type="dxa" w:w="964"/>
            <w:vAlign w:val="center"/>
            <w:tcMar>
              <w:top w:w="60" w:type="dxa"/>
              <w:start w:w="80" w:type="dxa"/>
              <w:bottom w:w="60" w:type="dxa"/>
              <w:end w:w="80" w:type="dxa"/>
            </w:tcMar>
          </w:tcPr>
          <w:p>
            <w:pPr>
              <w:spacing w:before="0" w:after="0" w:line="240" w:lineRule="auto"/>
              <w:jc w:val="center"/>
            </w:pPr>
            <w:r/>
            <w:r>
              <w:rPr>
                <w:rFonts w:ascii="Times New Roman" w:hAnsi="Times New Roman" w:eastAsia="宋体"/>
                <w:b w:val="0"/>
                <w:sz w:val="17"/>
              </w:rPr>
              <w:t>—</w:t>
            </w:r>
          </w:p>
        </w:tc>
        <w:tc>
          <w:tcPr>
            <w:tcW w:type="dxa" w:w="1134"/>
            <w:vAlign w:val="center"/>
            <w:tcMar>
              <w:top w:w="60" w:type="dxa"/>
              <w:start w:w="80" w:type="dxa"/>
              <w:bottom w:w="60" w:type="dxa"/>
              <w:end w:w="80" w:type="dxa"/>
            </w:tcMar>
          </w:tcPr>
          <w:p>
            <w:pPr>
              <w:spacing w:before="0" w:after="0" w:line="240" w:lineRule="auto"/>
              <w:jc w:val="center"/>
            </w:pPr>
            <w:r/>
            <w:r>
              <w:rPr>
                <w:rFonts w:ascii="Times New Roman" w:hAnsi="Times New Roman" w:eastAsia="宋体"/>
                <w:b w:val="0"/>
                <w:sz w:val="17"/>
              </w:rPr>
              <w:t>70.21%</w:t>
            </w:r>
          </w:p>
        </w:tc>
        <w:tc>
          <w:tcPr>
            <w:tcW w:type="dxa" w:w="964"/>
            <w:vAlign w:val="center"/>
            <w:tcMar>
              <w:top w:w="60" w:type="dxa"/>
              <w:start w:w="80" w:type="dxa"/>
              <w:bottom w:w="60" w:type="dxa"/>
              <w:end w:w="80" w:type="dxa"/>
            </w:tcMar>
          </w:tcPr>
          <w:p>
            <w:pPr>
              <w:spacing w:before="0" w:after="0" w:line="240" w:lineRule="auto"/>
              <w:jc w:val="center"/>
            </w:pPr>
            <w:r/>
            <w:r>
              <w:rPr>
                <w:rFonts w:ascii="Times New Roman" w:hAnsi="Times New Roman" w:eastAsia="宋体"/>
                <w:b w:val="0"/>
                <w:sz w:val="17"/>
              </w:rPr>
              <w:t>+0.43</w:t>
            </w:r>
          </w:p>
        </w:tc>
        <w:tc>
          <w:tcPr>
            <w:tcW w:type="dxa" w:w="1134"/>
            <w:vAlign w:val="center"/>
            <w:tcMar>
              <w:top w:w="60" w:type="dxa"/>
              <w:start w:w="80" w:type="dxa"/>
              <w:bottom w:w="60" w:type="dxa"/>
              <w:end w:w="80" w:type="dxa"/>
            </w:tcMar>
          </w:tcPr>
          <w:p>
            <w:pPr>
              <w:spacing w:before="0" w:after="0" w:line="240" w:lineRule="auto"/>
              <w:jc w:val="center"/>
            </w:pPr>
            <w:r/>
            <w:r>
              <w:rPr>
                <w:rFonts w:ascii="Times New Roman" w:hAnsi="Times New Roman" w:eastAsia="宋体"/>
                <w:b w:val="0"/>
                <w:sz w:val="17"/>
              </w:rPr>
              <w:t>58.79%</w:t>
            </w:r>
          </w:p>
        </w:tc>
        <w:tc>
          <w:tcPr>
            <w:tcW w:type="dxa" w:w="964"/>
            <w:vAlign w:val="center"/>
            <w:tcMar>
              <w:top w:w="60" w:type="dxa"/>
              <w:start w:w="80" w:type="dxa"/>
              <w:bottom w:w="60" w:type="dxa"/>
              <w:end w:w="80" w:type="dxa"/>
            </w:tcMar>
          </w:tcPr>
          <w:p>
            <w:pPr>
              <w:spacing w:before="0" w:after="0" w:line="240" w:lineRule="auto"/>
              <w:jc w:val="center"/>
            </w:pPr>
            <w:r/>
            <w:r>
              <w:rPr>
                <w:rFonts w:ascii="Times New Roman" w:hAnsi="Times New Roman" w:eastAsia="宋体"/>
                <w:b w:val="0"/>
                <w:sz w:val="17"/>
              </w:rPr>
              <w:t>-2.20</w:t>
            </w:r>
          </w:p>
        </w:tc>
      </w:tr>
      <w:tr>
        <w:trPr>
          <w:cantSplit/>
        </w:trPr>
        <w:tc>
          <w:tcPr>
            <w:tcW w:type="dxa" w:w="1474"/>
            <w:vAlign w:val="center"/>
            <w:tcMar>
              <w:top w:w="60" w:type="dxa"/>
              <w:start w:w="80" w:type="dxa"/>
              <w:bottom w:w="60" w:type="dxa"/>
              <w:end w:w="80" w:type="dxa"/>
            </w:tcMar>
          </w:tcPr>
          <w:p>
            <w:pPr>
              <w:spacing w:before="0" w:after="0" w:line="240" w:lineRule="auto"/>
              <w:jc w:val="left"/>
            </w:pPr>
            <w:r/>
            <w:r>
              <w:rPr>
                <w:rFonts w:ascii="Times New Roman" w:hAnsi="Times New Roman" w:eastAsia="宋体"/>
                <w:b w:val="0"/>
                <w:sz w:val="17"/>
              </w:rPr>
              <w:t>血液内科</w:t>
            </w:r>
          </w:p>
        </w:tc>
        <w:tc>
          <w:tcPr>
            <w:tcW w:type="dxa" w:w="1134"/>
            <w:vAlign w:val="center"/>
            <w:tcMar>
              <w:top w:w="60" w:type="dxa"/>
              <w:start w:w="80" w:type="dxa"/>
              <w:bottom w:w="60" w:type="dxa"/>
              <w:end w:w="80" w:type="dxa"/>
            </w:tcMar>
          </w:tcPr>
          <w:p>
            <w:pPr>
              <w:spacing w:before="0" w:after="0" w:line="240" w:lineRule="auto"/>
              <w:jc w:val="center"/>
            </w:pPr>
            <w:r/>
            <w:r>
              <w:rPr>
                <w:rFonts w:ascii="Times New Roman" w:hAnsi="Times New Roman" w:eastAsia="宋体"/>
                <w:b w:val="0"/>
                <w:sz w:val="17"/>
              </w:rPr>
              <w:t>—</w:t>
            </w:r>
          </w:p>
        </w:tc>
        <w:tc>
          <w:tcPr>
            <w:tcW w:type="dxa" w:w="964"/>
            <w:vAlign w:val="center"/>
            <w:tcMar>
              <w:top w:w="60" w:type="dxa"/>
              <w:start w:w="80" w:type="dxa"/>
              <w:bottom w:w="60" w:type="dxa"/>
              <w:end w:w="80" w:type="dxa"/>
            </w:tcMar>
          </w:tcPr>
          <w:p>
            <w:pPr>
              <w:spacing w:before="0" w:after="0" w:line="240" w:lineRule="auto"/>
              <w:jc w:val="center"/>
            </w:pPr>
            <w:r/>
            <w:r>
              <w:rPr>
                <w:rFonts w:ascii="Times New Roman" w:hAnsi="Times New Roman" w:eastAsia="宋体"/>
                <w:b w:val="0"/>
                <w:sz w:val="17"/>
              </w:rPr>
              <w:t>—</w:t>
            </w:r>
          </w:p>
        </w:tc>
        <w:tc>
          <w:tcPr>
            <w:tcW w:type="dxa" w:w="1134"/>
            <w:vAlign w:val="center"/>
            <w:tcMar>
              <w:top w:w="60" w:type="dxa"/>
              <w:start w:w="80" w:type="dxa"/>
              <w:bottom w:w="60" w:type="dxa"/>
              <w:end w:w="80" w:type="dxa"/>
            </w:tcMar>
          </w:tcPr>
          <w:p>
            <w:pPr>
              <w:spacing w:before="0" w:after="0" w:line="240" w:lineRule="auto"/>
              <w:jc w:val="center"/>
            </w:pPr>
            <w:r/>
            <w:r>
              <w:rPr>
                <w:rFonts w:ascii="Times New Roman" w:hAnsi="Times New Roman" w:eastAsia="宋体"/>
                <w:b w:val="0"/>
                <w:sz w:val="17"/>
              </w:rPr>
              <w:t>60.40%</w:t>
            </w:r>
          </w:p>
        </w:tc>
        <w:tc>
          <w:tcPr>
            <w:tcW w:type="dxa" w:w="964"/>
            <w:vAlign w:val="center"/>
            <w:tcMar>
              <w:top w:w="60" w:type="dxa"/>
              <w:start w:w="80" w:type="dxa"/>
              <w:bottom w:w="60" w:type="dxa"/>
              <w:end w:w="80" w:type="dxa"/>
            </w:tcMar>
          </w:tcPr>
          <w:p>
            <w:pPr>
              <w:spacing w:before="0" w:after="0" w:line="240" w:lineRule="auto"/>
              <w:jc w:val="center"/>
            </w:pPr>
            <w:r/>
            <w:r>
              <w:rPr>
                <w:rFonts w:ascii="Times New Roman" w:hAnsi="Times New Roman" w:eastAsia="宋体"/>
                <w:b w:val="0"/>
                <w:sz w:val="17"/>
              </w:rPr>
              <w:t>+1.80</w:t>
            </w:r>
          </w:p>
        </w:tc>
        <w:tc>
          <w:tcPr>
            <w:tcW w:type="dxa" w:w="1134"/>
            <w:vAlign w:val="center"/>
            <w:tcMar>
              <w:top w:w="60" w:type="dxa"/>
              <w:start w:w="80" w:type="dxa"/>
              <w:bottom w:w="60" w:type="dxa"/>
              <w:end w:w="80" w:type="dxa"/>
            </w:tcMar>
          </w:tcPr>
          <w:p>
            <w:pPr>
              <w:spacing w:before="0" w:after="0" w:line="240" w:lineRule="auto"/>
              <w:jc w:val="center"/>
            </w:pPr>
            <w:r/>
            <w:r>
              <w:rPr>
                <w:rFonts w:ascii="Times New Roman" w:hAnsi="Times New Roman" w:eastAsia="宋体"/>
                <w:b w:val="0"/>
                <w:sz w:val="17"/>
              </w:rPr>
              <w:t>52.85%</w:t>
            </w:r>
          </w:p>
        </w:tc>
        <w:tc>
          <w:tcPr>
            <w:tcW w:type="dxa" w:w="964"/>
            <w:vAlign w:val="center"/>
            <w:tcMar>
              <w:top w:w="60" w:type="dxa"/>
              <w:start w:w="80" w:type="dxa"/>
              <w:bottom w:w="60" w:type="dxa"/>
              <w:end w:w="80" w:type="dxa"/>
            </w:tcMar>
          </w:tcPr>
          <w:p>
            <w:pPr>
              <w:spacing w:before="0" w:after="0" w:line="240" w:lineRule="auto"/>
              <w:jc w:val="center"/>
            </w:pPr>
            <w:r/>
            <w:r>
              <w:rPr>
                <w:rFonts w:ascii="Times New Roman" w:hAnsi="Times New Roman" w:eastAsia="宋体"/>
                <w:b w:val="0"/>
                <w:sz w:val="17"/>
              </w:rPr>
              <w:t>-1.27</w:t>
            </w:r>
          </w:p>
        </w:tc>
      </w:tr>
      <w:tr>
        <w:trPr>
          <w:cantSplit/>
        </w:trPr>
        <w:tc>
          <w:tcPr>
            <w:tcW w:type="dxa" w:w="1474"/>
            <w:vAlign w:val="center"/>
            <w:tcMar>
              <w:top w:w="60" w:type="dxa"/>
              <w:start w:w="80" w:type="dxa"/>
              <w:bottom w:w="60" w:type="dxa"/>
              <w:end w:w="80" w:type="dxa"/>
            </w:tcMar>
          </w:tcPr>
          <w:p>
            <w:pPr>
              <w:spacing w:before="0" w:after="0" w:line="240" w:lineRule="auto"/>
              <w:jc w:val="left"/>
            </w:pPr>
            <w:r/>
            <w:r>
              <w:rPr>
                <w:rFonts w:ascii="Times New Roman" w:hAnsi="Times New Roman" w:eastAsia="宋体"/>
                <w:b w:val="0"/>
                <w:sz w:val="17"/>
              </w:rPr>
              <w:t>风湿免疫</w:t>
            </w:r>
          </w:p>
        </w:tc>
        <w:tc>
          <w:tcPr>
            <w:tcW w:type="dxa" w:w="1134"/>
            <w:vAlign w:val="center"/>
            <w:tcMar>
              <w:top w:w="60" w:type="dxa"/>
              <w:start w:w="80" w:type="dxa"/>
              <w:bottom w:w="60" w:type="dxa"/>
              <w:end w:w="80" w:type="dxa"/>
            </w:tcMar>
          </w:tcPr>
          <w:p>
            <w:pPr>
              <w:spacing w:before="0" w:after="0" w:line="240" w:lineRule="auto"/>
              <w:jc w:val="center"/>
            </w:pPr>
            <w:r/>
            <w:r>
              <w:rPr>
                <w:rFonts w:ascii="Times New Roman" w:hAnsi="Times New Roman" w:eastAsia="宋体"/>
                <w:b w:val="0"/>
                <w:sz w:val="17"/>
              </w:rPr>
              <w:t>—</w:t>
            </w:r>
          </w:p>
        </w:tc>
        <w:tc>
          <w:tcPr>
            <w:tcW w:type="dxa" w:w="964"/>
            <w:vAlign w:val="center"/>
            <w:tcMar>
              <w:top w:w="60" w:type="dxa"/>
              <w:start w:w="80" w:type="dxa"/>
              <w:bottom w:w="60" w:type="dxa"/>
              <w:end w:w="80" w:type="dxa"/>
            </w:tcMar>
          </w:tcPr>
          <w:p>
            <w:pPr>
              <w:spacing w:before="0" w:after="0" w:line="240" w:lineRule="auto"/>
              <w:jc w:val="center"/>
            </w:pPr>
            <w:r/>
            <w:r>
              <w:rPr>
                <w:rFonts w:ascii="Times New Roman" w:hAnsi="Times New Roman" w:eastAsia="宋体"/>
                <w:b w:val="0"/>
                <w:sz w:val="17"/>
              </w:rPr>
              <w:t>—</w:t>
            </w:r>
          </w:p>
        </w:tc>
        <w:tc>
          <w:tcPr>
            <w:tcW w:type="dxa" w:w="1134"/>
            <w:vAlign w:val="center"/>
            <w:tcMar>
              <w:top w:w="60" w:type="dxa"/>
              <w:start w:w="80" w:type="dxa"/>
              <w:bottom w:w="60" w:type="dxa"/>
              <w:end w:w="80" w:type="dxa"/>
            </w:tcMar>
          </w:tcPr>
          <w:p>
            <w:pPr>
              <w:spacing w:before="0" w:after="0" w:line="240" w:lineRule="auto"/>
              <w:jc w:val="center"/>
            </w:pPr>
            <w:r/>
            <w:r>
              <w:rPr>
                <w:rFonts w:ascii="Times New Roman" w:hAnsi="Times New Roman" w:eastAsia="宋体"/>
                <w:b w:val="0"/>
                <w:sz w:val="17"/>
              </w:rPr>
              <w:t>60.39%</w:t>
            </w:r>
          </w:p>
        </w:tc>
        <w:tc>
          <w:tcPr>
            <w:tcW w:type="dxa" w:w="964"/>
            <w:vAlign w:val="center"/>
            <w:tcMar>
              <w:top w:w="60" w:type="dxa"/>
              <w:start w:w="80" w:type="dxa"/>
              <w:bottom w:w="60" w:type="dxa"/>
              <w:end w:w="80" w:type="dxa"/>
            </w:tcMar>
          </w:tcPr>
          <w:p>
            <w:pPr>
              <w:spacing w:before="0" w:after="0" w:line="240" w:lineRule="auto"/>
              <w:jc w:val="center"/>
            </w:pPr>
            <w:r/>
            <w:r>
              <w:rPr>
                <w:rFonts w:ascii="Times New Roman" w:hAnsi="Times New Roman" w:eastAsia="宋体"/>
                <w:b w:val="0"/>
                <w:sz w:val="17"/>
              </w:rPr>
              <w:t>+0.52</w:t>
            </w:r>
          </w:p>
        </w:tc>
        <w:tc>
          <w:tcPr>
            <w:tcW w:type="dxa" w:w="1134"/>
            <w:vAlign w:val="center"/>
            <w:tcMar>
              <w:top w:w="60" w:type="dxa"/>
              <w:start w:w="80" w:type="dxa"/>
              <w:bottom w:w="60" w:type="dxa"/>
              <w:end w:w="80" w:type="dxa"/>
            </w:tcMar>
          </w:tcPr>
          <w:p>
            <w:pPr>
              <w:spacing w:before="0" w:after="0" w:line="240" w:lineRule="auto"/>
              <w:jc w:val="center"/>
            </w:pPr>
            <w:r/>
            <w:r>
              <w:rPr>
                <w:rFonts w:ascii="Times New Roman" w:hAnsi="Times New Roman" w:eastAsia="宋体"/>
                <w:b w:val="0"/>
                <w:sz w:val="17"/>
              </w:rPr>
              <w:t>54.08%</w:t>
            </w:r>
          </w:p>
        </w:tc>
        <w:tc>
          <w:tcPr>
            <w:tcW w:type="dxa" w:w="964"/>
            <w:vAlign w:val="center"/>
            <w:tcMar>
              <w:top w:w="60" w:type="dxa"/>
              <w:start w:w="80" w:type="dxa"/>
              <w:bottom w:w="60" w:type="dxa"/>
              <w:end w:w="80" w:type="dxa"/>
            </w:tcMar>
          </w:tcPr>
          <w:p>
            <w:pPr>
              <w:spacing w:before="0" w:after="0" w:line="240" w:lineRule="auto"/>
              <w:jc w:val="center"/>
            </w:pPr>
            <w:r/>
            <w:r>
              <w:rPr>
                <w:rFonts w:ascii="Times New Roman" w:hAnsi="Times New Roman" w:eastAsia="宋体"/>
                <w:b w:val="0"/>
                <w:sz w:val="17"/>
              </w:rPr>
              <w:t>-1.87</w:t>
            </w:r>
          </w:p>
        </w:tc>
      </w:tr>
      <w:tr>
        <w:trPr>
          <w:cantSplit/>
        </w:trPr>
        <w:tc>
          <w:tcPr>
            <w:tcW w:type="dxa" w:w="1474"/>
            <w:vAlign w:val="center"/>
            <w:tcMar>
              <w:top w:w="60" w:type="dxa"/>
              <w:start w:w="80" w:type="dxa"/>
              <w:bottom w:w="60" w:type="dxa"/>
              <w:end w:w="80" w:type="dxa"/>
            </w:tcMar>
          </w:tcPr>
          <w:p>
            <w:pPr>
              <w:spacing w:before="0" w:after="0" w:line="240" w:lineRule="auto"/>
              <w:jc w:val="left"/>
            </w:pPr>
            <w:r/>
            <w:r>
              <w:rPr>
                <w:rFonts w:ascii="Times New Roman" w:hAnsi="Times New Roman" w:eastAsia="宋体"/>
                <w:b w:val="0"/>
                <w:sz w:val="17"/>
              </w:rPr>
              <w:t>外科学</w:t>
            </w:r>
          </w:p>
        </w:tc>
        <w:tc>
          <w:tcPr>
            <w:tcW w:type="dxa" w:w="1134"/>
            <w:vAlign w:val="center"/>
            <w:tcMar>
              <w:top w:w="60" w:type="dxa"/>
              <w:start w:w="80" w:type="dxa"/>
              <w:bottom w:w="60" w:type="dxa"/>
              <w:end w:w="80" w:type="dxa"/>
            </w:tcMar>
          </w:tcPr>
          <w:p>
            <w:pPr>
              <w:spacing w:before="0" w:after="0" w:line="240" w:lineRule="auto"/>
              <w:jc w:val="center"/>
            </w:pPr>
            <w:r/>
            <w:r>
              <w:rPr>
                <w:rFonts w:ascii="Times New Roman" w:hAnsi="Times New Roman" w:eastAsia="宋体"/>
                <w:b w:val="0"/>
                <w:sz w:val="17"/>
              </w:rPr>
              <w:t>65.01%</w:t>
            </w:r>
          </w:p>
        </w:tc>
        <w:tc>
          <w:tcPr>
            <w:tcW w:type="dxa" w:w="964"/>
            <w:vAlign w:val="center"/>
            <w:tcMar>
              <w:top w:w="60" w:type="dxa"/>
              <w:start w:w="80" w:type="dxa"/>
              <w:bottom w:w="60" w:type="dxa"/>
              <w:end w:w="80" w:type="dxa"/>
            </w:tcMar>
          </w:tcPr>
          <w:p>
            <w:pPr>
              <w:spacing w:before="0" w:after="0" w:line="240" w:lineRule="auto"/>
              <w:jc w:val="center"/>
            </w:pPr>
            <w:r/>
            <w:r>
              <w:rPr>
                <w:rFonts w:ascii="Times New Roman" w:hAnsi="Times New Roman" w:eastAsia="宋体"/>
                <w:b w:val="0"/>
                <w:sz w:val="17"/>
              </w:rPr>
              <w:t>-0.71</w:t>
            </w:r>
          </w:p>
        </w:tc>
        <w:tc>
          <w:tcPr>
            <w:tcW w:type="dxa" w:w="1134"/>
            <w:vAlign w:val="center"/>
            <w:tcMar>
              <w:top w:w="60" w:type="dxa"/>
              <w:start w:w="80" w:type="dxa"/>
              <w:bottom w:w="60" w:type="dxa"/>
              <w:end w:w="80" w:type="dxa"/>
            </w:tcMar>
          </w:tcPr>
          <w:p>
            <w:pPr>
              <w:spacing w:before="0" w:after="0" w:line="240" w:lineRule="auto"/>
              <w:jc w:val="center"/>
            </w:pPr>
            <w:r/>
            <w:r>
              <w:rPr>
                <w:rFonts w:ascii="Times New Roman" w:hAnsi="Times New Roman" w:eastAsia="宋体"/>
                <w:b w:val="0"/>
                <w:sz w:val="17"/>
              </w:rPr>
              <w:t>69.82%</w:t>
            </w:r>
          </w:p>
        </w:tc>
        <w:tc>
          <w:tcPr>
            <w:tcW w:type="dxa" w:w="964"/>
            <w:vAlign w:val="center"/>
            <w:tcMar>
              <w:top w:w="60" w:type="dxa"/>
              <w:start w:w="80" w:type="dxa"/>
              <w:bottom w:w="60" w:type="dxa"/>
              <w:end w:w="80" w:type="dxa"/>
            </w:tcMar>
          </w:tcPr>
          <w:p>
            <w:pPr>
              <w:spacing w:before="0" w:after="0" w:line="240" w:lineRule="auto"/>
              <w:jc w:val="center"/>
            </w:pPr>
            <w:r/>
            <w:r>
              <w:rPr>
                <w:rFonts w:ascii="Times New Roman" w:hAnsi="Times New Roman" w:eastAsia="宋体"/>
                <w:b w:val="0"/>
                <w:sz w:val="17"/>
              </w:rPr>
              <w:t>-0.21</w:t>
            </w:r>
          </w:p>
        </w:tc>
        <w:tc>
          <w:tcPr>
            <w:tcW w:type="dxa" w:w="1134"/>
            <w:vAlign w:val="center"/>
            <w:tcMar>
              <w:top w:w="60" w:type="dxa"/>
              <w:start w:w="80" w:type="dxa"/>
              <w:bottom w:w="60" w:type="dxa"/>
              <w:end w:w="80" w:type="dxa"/>
            </w:tcMar>
          </w:tcPr>
          <w:p>
            <w:pPr>
              <w:spacing w:before="0" w:after="0" w:line="240" w:lineRule="auto"/>
              <w:jc w:val="center"/>
            </w:pPr>
            <w:r/>
            <w:r>
              <w:rPr>
                <w:rFonts w:ascii="Times New Roman" w:hAnsi="Times New Roman" w:eastAsia="宋体"/>
                <w:b w:val="0"/>
                <w:sz w:val="17"/>
              </w:rPr>
              <w:t>67.21%</w:t>
            </w:r>
          </w:p>
        </w:tc>
        <w:tc>
          <w:tcPr>
            <w:tcW w:type="dxa" w:w="964"/>
            <w:vAlign w:val="center"/>
            <w:tcMar>
              <w:top w:w="60" w:type="dxa"/>
              <w:start w:w="80" w:type="dxa"/>
              <w:bottom w:w="60" w:type="dxa"/>
              <w:end w:w="80" w:type="dxa"/>
            </w:tcMar>
          </w:tcPr>
          <w:p>
            <w:pPr>
              <w:spacing w:before="0" w:after="0" w:line="240" w:lineRule="auto"/>
              <w:jc w:val="center"/>
            </w:pPr>
            <w:r/>
            <w:r>
              <w:rPr>
                <w:rFonts w:ascii="Times New Roman" w:hAnsi="Times New Roman" w:eastAsia="宋体"/>
                <w:b w:val="0"/>
                <w:sz w:val="17"/>
              </w:rPr>
              <w:t>-1.92</w:t>
            </w:r>
          </w:p>
        </w:tc>
      </w:tr>
      <w:tr>
        <w:trPr>
          <w:cantSplit/>
        </w:trPr>
        <w:tc>
          <w:tcPr>
            <w:tcW w:type="dxa" w:w="1474"/>
            <w:vAlign w:val="center"/>
            <w:tcMar>
              <w:top w:w="60" w:type="dxa"/>
              <w:start w:w="80" w:type="dxa"/>
              <w:bottom w:w="60" w:type="dxa"/>
              <w:end w:w="80" w:type="dxa"/>
            </w:tcMar>
          </w:tcPr>
          <w:p>
            <w:pPr>
              <w:spacing w:before="0" w:after="0" w:line="240" w:lineRule="auto"/>
              <w:jc w:val="left"/>
            </w:pPr>
            <w:r/>
            <w:r>
              <w:rPr>
                <w:rFonts w:ascii="Times New Roman" w:hAnsi="Times New Roman" w:eastAsia="宋体"/>
                <w:b w:val="0"/>
                <w:sz w:val="17"/>
              </w:rPr>
              <w:t>普通外科</w:t>
            </w:r>
          </w:p>
        </w:tc>
        <w:tc>
          <w:tcPr>
            <w:tcW w:type="dxa" w:w="1134"/>
            <w:vAlign w:val="center"/>
            <w:tcMar>
              <w:top w:w="60" w:type="dxa"/>
              <w:start w:w="80" w:type="dxa"/>
              <w:bottom w:w="60" w:type="dxa"/>
              <w:end w:w="80" w:type="dxa"/>
            </w:tcMar>
          </w:tcPr>
          <w:p>
            <w:pPr>
              <w:spacing w:before="0" w:after="0" w:line="240" w:lineRule="auto"/>
              <w:jc w:val="center"/>
            </w:pPr>
            <w:r/>
            <w:r>
              <w:rPr>
                <w:rFonts w:ascii="Times New Roman" w:hAnsi="Times New Roman" w:eastAsia="宋体"/>
                <w:b w:val="0"/>
                <w:sz w:val="17"/>
              </w:rPr>
              <w:t>—</w:t>
            </w:r>
          </w:p>
        </w:tc>
        <w:tc>
          <w:tcPr>
            <w:tcW w:type="dxa" w:w="964"/>
            <w:vAlign w:val="center"/>
            <w:tcMar>
              <w:top w:w="60" w:type="dxa"/>
              <w:start w:w="80" w:type="dxa"/>
              <w:bottom w:w="60" w:type="dxa"/>
              <w:end w:w="80" w:type="dxa"/>
            </w:tcMar>
          </w:tcPr>
          <w:p>
            <w:pPr>
              <w:spacing w:before="0" w:after="0" w:line="240" w:lineRule="auto"/>
              <w:jc w:val="center"/>
            </w:pPr>
            <w:r/>
            <w:r>
              <w:rPr>
                <w:rFonts w:ascii="Times New Roman" w:hAnsi="Times New Roman" w:eastAsia="宋体"/>
                <w:b w:val="0"/>
                <w:sz w:val="17"/>
              </w:rPr>
              <w:t>—</w:t>
            </w:r>
          </w:p>
        </w:tc>
        <w:tc>
          <w:tcPr>
            <w:tcW w:type="dxa" w:w="1134"/>
            <w:vAlign w:val="center"/>
            <w:tcMar>
              <w:top w:w="60" w:type="dxa"/>
              <w:start w:w="80" w:type="dxa"/>
              <w:bottom w:w="60" w:type="dxa"/>
              <w:end w:w="80" w:type="dxa"/>
            </w:tcMar>
          </w:tcPr>
          <w:p>
            <w:pPr>
              <w:spacing w:before="0" w:after="0" w:line="240" w:lineRule="auto"/>
              <w:jc w:val="center"/>
            </w:pPr>
            <w:r/>
            <w:r>
              <w:rPr>
                <w:rFonts w:ascii="Times New Roman" w:hAnsi="Times New Roman" w:eastAsia="宋体"/>
                <w:b w:val="0"/>
                <w:sz w:val="17"/>
              </w:rPr>
              <w:t>78.56%</w:t>
            </w:r>
          </w:p>
        </w:tc>
        <w:tc>
          <w:tcPr>
            <w:tcW w:type="dxa" w:w="964"/>
            <w:vAlign w:val="center"/>
            <w:tcMar>
              <w:top w:w="60" w:type="dxa"/>
              <w:start w:w="80" w:type="dxa"/>
              <w:bottom w:w="60" w:type="dxa"/>
              <w:end w:w="80" w:type="dxa"/>
            </w:tcMar>
          </w:tcPr>
          <w:p>
            <w:pPr>
              <w:spacing w:before="0" w:after="0" w:line="240" w:lineRule="auto"/>
              <w:jc w:val="center"/>
            </w:pPr>
            <w:r/>
            <w:r>
              <w:rPr>
                <w:rFonts w:ascii="Times New Roman" w:hAnsi="Times New Roman" w:eastAsia="宋体"/>
                <w:b w:val="0"/>
                <w:sz w:val="17"/>
              </w:rPr>
              <w:t>-0.10</w:t>
            </w:r>
          </w:p>
        </w:tc>
        <w:tc>
          <w:tcPr>
            <w:tcW w:type="dxa" w:w="1134"/>
            <w:vAlign w:val="center"/>
            <w:tcMar>
              <w:top w:w="60" w:type="dxa"/>
              <w:start w:w="80" w:type="dxa"/>
              <w:bottom w:w="60" w:type="dxa"/>
              <w:end w:w="80" w:type="dxa"/>
            </w:tcMar>
          </w:tcPr>
          <w:p>
            <w:pPr>
              <w:spacing w:before="0" w:after="0" w:line="240" w:lineRule="auto"/>
              <w:jc w:val="center"/>
            </w:pPr>
            <w:r/>
            <w:r>
              <w:rPr>
                <w:rFonts w:ascii="Times New Roman" w:hAnsi="Times New Roman" w:eastAsia="宋体"/>
                <w:b w:val="0"/>
                <w:sz w:val="17"/>
              </w:rPr>
              <w:t>70.55%</w:t>
            </w:r>
          </w:p>
        </w:tc>
        <w:tc>
          <w:tcPr>
            <w:tcW w:type="dxa" w:w="964"/>
            <w:vAlign w:val="center"/>
            <w:tcMar>
              <w:top w:w="60" w:type="dxa"/>
              <w:start w:w="80" w:type="dxa"/>
              <w:bottom w:w="60" w:type="dxa"/>
              <w:end w:w="80" w:type="dxa"/>
            </w:tcMar>
          </w:tcPr>
          <w:p>
            <w:pPr>
              <w:spacing w:before="0" w:after="0" w:line="240" w:lineRule="auto"/>
              <w:jc w:val="center"/>
            </w:pPr>
            <w:r/>
            <w:r>
              <w:rPr>
                <w:rFonts w:ascii="Times New Roman" w:hAnsi="Times New Roman" w:eastAsia="宋体"/>
                <w:b w:val="0"/>
                <w:sz w:val="17"/>
              </w:rPr>
              <w:t>-2.14</w:t>
            </w:r>
          </w:p>
        </w:tc>
      </w:tr>
      <w:tr>
        <w:trPr>
          <w:cantSplit/>
        </w:trPr>
        <w:tc>
          <w:tcPr>
            <w:tcW w:type="dxa" w:w="1474"/>
            <w:vAlign w:val="center"/>
            <w:tcMar>
              <w:top w:w="60" w:type="dxa"/>
              <w:start w:w="80" w:type="dxa"/>
              <w:bottom w:w="60" w:type="dxa"/>
              <w:end w:w="80" w:type="dxa"/>
            </w:tcMar>
          </w:tcPr>
          <w:p>
            <w:pPr>
              <w:spacing w:before="0" w:after="0" w:line="240" w:lineRule="auto"/>
              <w:jc w:val="left"/>
            </w:pPr>
            <w:r/>
            <w:r>
              <w:rPr>
                <w:rFonts w:ascii="Times New Roman" w:hAnsi="Times New Roman" w:eastAsia="宋体"/>
                <w:b w:val="0"/>
                <w:sz w:val="17"/>
              </w:rPr>
              <w:t>骨科</w:t>
            </w:r>
          </w:p>
        </w:tc>
        <w:tc>
          <w:tcPr>
            <w:tcW w:type="dxa" w:w="1134"/>
            <w:vAlign w:val="center"/>
            <w:tcMar>
              <w:top w:w="60" w:type="dxa"/>
              <w:start w:w="80" w:type="dxa"/>
              <w:bottom w:w="60" w:type="dxa"/>
              <w:end w:w="80" w:type="dxa"/>
            </w:tcMar>
          </w:tcPr>
          <w:p>
            <w:pPr>
              <w:spacing w:before="0" w:after="0" w:line="240" w:lineRule="auto"/>
              <w:jc w:val="center"/>
            </w:pPr>
            <w:r/>
            <w:r>
              <w:rPr>
                <w:rFonts w:ascii="Times New Roman" w:hAnsi="Times New Roman" w:eastAsia="宋体"/>
                <w:b w:val="0"/>
                <w:sz w:val="17"/>
              </w:rPr>
              <w:t>—</w:t>
            </w:r>
          </w:p>
        </w:tc>
        <w:tc>
          <w:tcPr>
            <w:tcW w:type="dxa" w:w="964"/>
            <w:vAlign w:val="center"/>
            <w:tcMar>
              <w:top w:w="60" w:type="dxa"/>
              <w:start w:w="80" w:type="dxa"/>
              <w:bottom w:w="60" w:type="dxa"/>
              <w:end w:w="80" w:type="dxa"/>
            </w:tcMar>
          </w:tcPr>
          <w:p>
            <w:pPr>
              <w:spacing w:before="0" w:after="0" w:line="240" w:lineRule="auto"/>
              <w:jc w:val="center"/>
            </w:pPr>
            <w:r/>
            <w:r>
              <w:rPr>
                <w:rFonts w:ascii="Times New Roman" w:hAnsi="Times New Roman" w:eastAsia="宋体"/>
                <w:b w:val="0"/>
                <w:sz w:val="17"/>
              </w:rPr>
              <w:t>—</w:t>
            </w:r>
          </w:p>
        </w:tc>
        <w:tc>
          <w:tcPr>
            <w:tcW w:type="dxa" w:w="1134"/>
            <w:vAlign w:val="center"/>
            <w:tcMar>
              <w:top w:w="60" w:type="dxa"/>
              <w:start w:w="80" w:type="dxa"/>
              <w:bottom w:w="60" w:type="dxa"/>
              <w:end w:w="80" w:type="dxa"/>
            </w:tcMar>
          </w:tcPr>
          <w:p>
            <w:pPr>
              <w:spacing w:before="0" w:after="0" w:line="240" w:lineRule="auto"/>
              <w:jc w:val="center"/>
            </w:pPr>
            <w:r/>
            <w:r>
              <w:rPr>
                <w:rFonts w:ascii="Times New Roman" w:hAnsi="Times New Roman" w:eastAsia="宋体"/>
                <w:b w:val="0"/>
                <w:sz w:val="17"/>
              </w:rPr>
              <w:t>63.39%</w:t>
            </w:r>
          </w:p>
        </w:tc>
        <w:tc>
          <w:tcPr>
            <w:tcW w:type="dxa" w:w="964"/>
            <w:vAlign w:val="center"/>
            <w:tcMar>
              <w:top w:w="60" w:type="dxa"/>
              <w:start w:w="80" w:type="dxa"/>
              <w:bottom w:w="60" w:type="dxa"/>
              <w:end w:w="80" w:type="dxa"/>
            </w:tcMar>
          </w:tcPr>
          <w:p>
            <w:pPr>
              <w:spacing w:before="0" w:after="0" w:line="240" w:lineRule="auto"/>
              <w:jc w:val="center"/>
            </w:pPr>
            <w:r/>
            <w:r>
              <w:rPr>
                <w:rFonts w:ascii="Times New Roman" w:hAnsi="Times New Roman" w:eastAsia="宋体"/>
                <w:b w:val="0"/>
                <w:sz w:val="17"/>
              </w:rPr>
              <w:t>-0.11</w:t>
            </w:r>
          </w:p>
        </w:tc>
        <w:tc>
          <w:tcPr>
            <w:tcW w:type="dxa" w:w="1134"/>
            <w:vAlign w:val="center"/>
            <w:tcMar>
              <w:top w:w="60" w:type="dxa"/>
              <w:start w:w="80" w:type="dxa"/>
              <w:bottom w:w="60" w:type="dxa"/>
              <w:end w:w="80" w:type="dxa"/>
            </w:tcMar>
          </w:tcPr>
          <w:p>
            <w:pPr>
              <w:spacing w:before="0" w:after="0" w:line="240" w:lineRule="auto"/>
              <w:jc w:val="center"/>
            </w:pPr>
            <w:r/>
            <w:r>
              <w:rPr>
                <w:rFonts w:ascii="Times New Roman" w:hAnsi="Times New Roman" w:eastAsia="宋体"/>
                <w:b w:val="0"/>
                <w:sz w:val="17"/>
              </w:rPr>
              <w:t>67.46%</w:t>
            </w:r>
          </w:p>
        </w:tc>
        <w:tc>
          <w:tcPr>
            <w:tcW w:type="dxa" w:w="964"/>
            <w:vAlign w:val="center"/>
            <w:tcMar>
              <w:top w:w="60" w:type="dxa"/>
              <w:start w:w="80" w:type="dxa"/>
              <w:bottom w:w="60" w:type="dxa"/>
              <w:end w:w="80" w:type="dxa"/>
            </w:tcMar>
          </w:tcPr>
          <w:p>
            <w:pPr>
              <w:spacing w:before="0" w:after="0" w:line="240" w:lineRule="auto"/>
              <w:jc w:val="center"/>
            </w:pPr>
            <w:r/>
            <w:r>
              <w:rPr>
                <w:rFonts w:ascii="Times New Roman" w:hAnsi="Times New Roman" w:eastAsia="宋体"/>
                <w:b w:val="0"/>
                <w:sz w:val="17"/>
              </w:rPr>
              <w:t>-2.53</w:t>
            </w:r>
          </w:p>
        </w:tc>
      </w:tr>
      <w:tr>
        <w:trPr>
          <w:cantSplit/>
        </w:trPr>
        <w:tc>
          <w:tcPr>
            <w:tcW w:type="dxa" w:w="1474"/>
            <w:vAlign w:val="center"/>
            <w:tcMar>
              <w:top w:w="60" w:type="dxa"/>
              <w:start w:w="80" w:type="dxa"/>
              <w:bottom w:w="60" w:type="dxa"/>
              <w:end w:w="80" w:type="dxa"/>
            </w:tcMar>
          </w:tcPr>
          <w:p>
            <w:pPr>
              <w:spacing w:before="0" w:after="0" w:line="240" w:lineRule="auto"/>
              <w:jc w:val="left"/>
            </w:pPr>
            <w:r/>
            <w:r>
              <w:rPr>
                <w:rFonts w:ascii="Times New Roman" w:hAnsi="Times New Roman" w:eastAsia="宋体"/>
                <w:b w:val="0"/>
                <w:sz w:val="17"/>
              </w:rPr>
              <w:t>神经外科</w:t>
            </w:r>
          </w:p>
        </w:tc>
        <w:tc>
          <w:tcPr>
            <w:tcW w:type="dxa" w:w="1134"/>
            <w:vAlign w:val="center"/>
            <w:tcMar>
              <w:top w:w="60" w:type="dxa"/>
              <w:start w:w="80" w:type="dxa"/>
              <w:bottom w:w="60" w:type="dxa"/>
              <w:end w:w="80" w:type="dxa"/>
            </w:tcMar>
          </w:tcPr>
          <w:p>
            <w:pPr>
              <w:spacing w:before="0" w:after="0" w:line="240" w:lineRule="auto"/>
              <w:jc w:val="center"/>
            </w:pPr>
            <w:r/>
            <w:r>
              <w:rPr>
                <w:rFonts w:ascii="Times New Roman" w:hAnsi="Times New Roman" w:eastAsia="宋体"/>
                <w:b w:val="0"/>
                <w:sz w:val="17"/>
              </w:rPr>
              <w:t>—</w:t>
            </w:r>
          </w:p>
        </w:tc>
        <w:tc>
          <w:tcPr>
            <w:tcW w:type="dxa" w:w="964"/>
            <w:vAlign w:val="center"/>
            <w:tcMar>
              <w:top w:w="60" w:type="dxa"/>
              <w:start w:w="80" w:type="dxa"/>
              <w:bottom w:w="60" w:type="dxa"/>
              <w:end w:w="80" w:type="dxa"/>
            </w:tcMar>
          </w:tcPr>
          <w:p>
            <w:pPr>
              <w:spacing w:before="0" w:after="0" w:line="240" w:lineRule="auto"/>
              <w:jc w:val="center"/>
            </w:pPr>
            <w:r/>
            <w:r>
              <w:rPr>
                <w:rFonts w:ascii="Times New Roman" w:hAnsi="Times New Roman" w:eastAsia="宋体"/>
                <w:b w:val="0"/>
                <w:sz w:val="17"/>
              </w:rPr>
              <w:t>—</w:t>
            </w:r>
          </w:p>
        </w:tc>
        <w:tc>
          <w:tcPr>
            <w:tcW w:type="dxa" w:w="1134"/>
            <w:vAlign w:val="center"/>
            <w:tcMar>
              <w:top w:w="60" w:type="dxa"/>
              <w:start w:w="80" w:type="dxa"/>
              <w:bottom w:w="60" w:type="dxa"/>
              <w:end w:w="80" w:type="dxa"/>
            </w:tcMar>
          </w:tcPr>
          <w:p>
            <w:pPr>
              <w:spacing w:before="0" w:after="0" w:line="240" w:lineRule="auto"/>
              <w:jc w:val="center"/>
            </w:pPr>
            <w:r/>
            <w:r>
              <w:rPr>
                <w:rFonts w:ascii="Times New Roman" w:hAnsi="Times New Roman" w:eastAsia="宋体"/>
                <w:b w:val="0"/>
                <w:sz w:val="17"/>
              </w:rPr>
              <w:t>77.49%</w:t>
            </w:r>
          </w:p>
        </w:tc>
        <w:tc>
          <w:tcPr>
            <w:tcW w:type="dxa" w:w="964"/>
            <w:vAlign w:val="center"/>
            <w:tcMar>
              <w:top w:w="60" w:type="dxa"/>
              <w:start w:w="80" w:type="dxa"/>
              <w:bottom w:w="60" w:type="dxa"/>
              <w:end w:w="80" w:type="dxa"/>
            </w:tcMar>
          </w:tcPr>
          <w:p>
            <w:pPr>
              <w:spacing w:before="0" w:after="0" w:line="240" w:lineRule="auto"/>
              <w:jc w:val="center"/>
            </w:pPr>
            <w:r/>
            <w:r>
              <w:rPr>
                <w:rFonts w:ascii="Times New Roman" w:hAnsi="Times New Roman" w:eastAsia="宋体"/>
                <w:b w:val="0"/>
                <w:sz w:val="17"/>
              </w:rPr>
              <w:t>-0.54</w:t>
            </w:r>
          </w:p>
        </w:tc>
        <w:tc>
          <w:tcPr>
            <w:tcW w:type="dxa" w:w="1134"/>
            <w:vAlign w:val="center"/>
            <w:tcMar>
              <w:top w:w="60" w:type="dxa"/>
              <w:start w:w="80" w:type="dxa"/>
              <w:bottom w:w="60" w:type="dxa"/>
              <w:end w:w="80" w:type="dxa"/>
            </w:tcMar>
          </w:tcPr>
          <w:p>
            <w:pPr>
              <w:spacing w:before="0" w:after="0" w:line="240" w:lineRule="auto"/>
              <w:jc w:val="center"/>
            </w:pPr>
            <w:r/>
            <w:r>
              <w:rPr>
                <w:rFonts w:ascii="Times New Roman" w:hAnsi="Times New Roman" w:eastAsia="宋体"/>
                <w:b w:val="0"/>
                <w:sz w:val="17"/>
              </w:rPr>
              <w:t>57.77%</w:t>
            </w:r>
          </w:p>
        </w:tc>
        <w:tc>
          <w:tcPr>
            <w:tcW w:type="dxa" w:w="964"/>
            <w:vAlign w:val="center"/>
            <w:tcMar>
              <w:top w:w="60" w:type="dxa"/>
              <w:start w:w="80" w:type="dxa"/>
              <w:bottom w:w="60" w:type="dxa"/>
              <w:end w:w="80" w:type="dxa"/>
            </w:tcMar>
          </w:tcPr>
          <w:p>
            <w:pPr>
              <w:spacing w:before="0" w:after="0" w:line="240" w:lineRule="auto"/>
              <w:jc w:val="center"/>
            </w:pPr>
            <w:r/>
            <w:r>
              <w:rPr>
                <w:rFonts w:ascii="Times New Roman" w:hAnsi="Times New Roman" w:eastAsia="宋体"/>
                <w:b w:val="0"/>
                <w:sz w:val="17"/>
              </w:rPr>
              <w:t>-1.94</w:t>
            </w:r>
          </w:p>
        </w:tc>
      </w:tr>
      <w:tr>
        <w:trPr>
          <w:cantSplit/>
        </w:trPr>
        <w:tc>
          <w:tcPr>
            <w:tcW w:type="dxa" w:w="1474"/>
            <w:vAlign w:val="center"/>
            <w:tcMar>
              <w:top w:w="60" w:type="dxa"/>
              <w:start w:w="80" w:type="dxa"/>
              <w:bottom w:w="60" w:type="dxa"/>
              <w:end w:w="80" w:type="dxa"/>
            </w:tcMar>
          </w:tcPr>
          <w:p>
            <w:pPr>
              <w:spacing w:before="0" w:after="0" w:line="240" w:lineRule="auto"/>
              <w:jc w:val="left"/>
            </w:pPr>
            <w:r/>
            <w:r>
              <w:rPr>
                <w:rFonts w:ascii="Times New Roman" w:hAnsi="Times New Roman" w:eastAsia="宋体"/>
                <w:b w:val="0"/>
                <w:sz w:val="17"/>
              </w:rPr>
              <w:t>妇产科学</w:t>
            </w:r>
          </w:p>
        </w:tc>
        <w:tc>
          <w:tcPr>
            <w:tcW w:type="dxa" w:w="1134"/>
            <w:vAlign w:val="center"/>
            <w:tcMar>
              <w:top w:w="60" w:type="dxa"/>
              <w:start w:w="80" w:type="dxa"/>
              <w:bottom w:w="60" w:type="dxa"/>
              <w:end w:w="80" w:type="dxa"/>
            </w:tcMar>
          </w:tcPr>
          <w:p>
            <w:pPr>
              <w:spacing w:before="0" w:after="0" w:line="240" w:lineRule="auto"/>
              <w:jc w:val="center"/>
            </w:pPr>
            <w:r/>
            <w:r>
              <w:rPr>
                <w:rFonts w:ascii="Times New Roman" w:hAnsi="Times New Roman" w:eastAsia="宋体"/>
                <w:b w:val="0"/>
                <w:sz w:val="17"/>
              </w:rPr>
              <w:t>65.00%</w:t>
            </w:r>
          </w:p>
        </w:tc>
        <w:tc>
          <w:tcPr>
            <w:tcW w:type="dxa" w:w="964"/>
            <w:vAlign w:val="center"/>
            <w:tcMar>
              <w:top w:w="60" w:type="dxa"/>
              <w:start w:w="80" w:type="dxa"/>
              <w:bottom w:w="60" w:type="dxa"/>
              <w:end w:w="80" w:type="dxa"/>
            </w:tcMar>
          </w:tcPr>
          <w:p>
            <w:pPr>
              <w:spacing w:before="0" w:after="0" w:line="240" w:lineRule="auto"/>
              <w:jc w:val="center"/>
            </w:pPr>
            <w:r/>
            <w:r>
              <w:rPr>
                <w:rFonts w:ascii="Times New Roman" w:hAnsi="Times New Roman" w:eastAsia="宋体"/>
                <w:b w:val="0"/>
                <w:sz w:val="17"/>
              </w:rPr>
              <w:t>-1.06</w:t>
            </w:r>
          </w:p>
        </w:tc>
        <w:tc>
          <w:tcPr>
            <w:tcW w:type="dxa" w:w="1134"/>
            <w:vAlign w:val="center"/>
            <w:tcMar>
              <w:top w:w="60" w:type="dxa"/>
              <w:start w:w="80" w:type="dxa"/>
              <w:bottom w:w="60" w:type="dxa"/>
              <w:end w:w="80" w:type="dxa"/>
            </w:tcMar>
          </w:tcPr>
          <w:p>
            <w:pPr>
              <w:spacing w:before="0" w:after="0" w:line="240" w:lineRule="auto"/>
              <w:jc w:val="center"/>
            </w:pPr>
            <w:r/>
            <w:r>
              <w:rPr>
                <w:rFonts w:ascii="Times New Roman" w:hAnsi="Times New Roman" w:eastAsia="宋体"/>
                <w:b w:val="0"/>
                <w:sz w:val="17"/>
              </w:rPr>
              <w:t>65.48%</w:t>
            </w:r>
          </w:p>
        </w:tc>
        <w:tc>
          <w:tcPr>
            <w:tcW w:type="dxa" w:w="964"/>
            <w:vAlign w:val="center"/>
            <w:tcMar>
              <w:top w:w="60" w:type="dxa"/>
              <w:start w:w="80" w:type="dxa"/>
              <w:bottom w:w="60" w:type="dxa"/>
              <w:end w:w="80" w:type="dxa"/>
            </w:tcMar>
          </w:tcPr>
          <w:p>
            <w:pPr>
              <w:spacing w:before="0" w:after="0" w:line="240" w:lineRule="auto"/>
              <w:jc w:val="center"/>
            </w:pPr>
            <w:r/>
            <w:r>
              <w:rPr>
                <w:rFonts w:ascii="Times New Roman" w:hAnsi="Times New Roman" w:eastAsia="宋体"/>
                <w:b w:val="0"/>
                <w:sz w:val="17"/>
              </w:rPr>
              <w:t>-0.75</w:t>
            </w:r>
          </w:p>
        </w:tc>
        <w:tc>
          <w:tcPr>
            <w:tcW w:type="dxa" w:w="1134"/>
            <w:vAlign w:val="center"/>
            <w:tcMar>
              <w:top w:w="60" w:type="dxa"/>
              <w:start w:w="80" w:type="dxa"/>
              <w:bottom w:w="60" w:type="dxa"/>
              <w:end w:w="80" w:type="dxa"/>
            </w:tcMar>
          </w:tcPr>
          <w:p>
            <w:pPr>
              <w:spacing w:before="0" w:after="0" w:line="240" w:lineRule="auto"/>
              <w:jc w:val="center"/>
            </w:pPr>
            <w:r/>
            <w:r>
              <w:rPr>
                <w:rFonts w:ascii="Times New Roman" w:hAnsi="Times New Roman" w:eastAsia="宋体"/>
                <w:b w:val="0"/>
                <w:sz w:val="17"/>
              </w:rPr>
              <w:t>66.86%</w:t>
            </w:r>
          </w:p>
        </w:tc>
        <w:tc>
          <w:tcPr>
            <w:tcW w:type="dxa" w:w="964"/>
            <w:vAlign w:val="center"/>
            <w:tcMar>
              <w:top w:w="60" w:type="dxa"/>
              <w:start w:w="80" w:type="dxa"/>
              <w:bottom w:w="60" w:type="dxa"/>
              <w:end w:w="80" w:type="dxa"/>
            </w:tcMar>
          </w:tcPr>
          <w:p>
            <w:pPr>
              <w:spacing w:before="0" w:after="0" w:line="240" w:lineRule="auto"/>
              <w:jc w:val="center"/>
            </w:pPr>
            <w:r/>
            <w:r>
              <w:rPr>
                <w:rFonts w:ascii="Times New Roman" w:hAnsi="Times New Roman" w:eastAsia="宋体"/>
                <w:b w:val="0"/>
                <w:sz w:val="17"/>
              </w:rPr>
              <w:t>-1.33</w:t>
            </w:r>
          </w:p>
        </w:tc>
      </w:tr>
      <w:tr>
        <w:trPr>
          <w:cantSplit/>
        </w:trPr>
        <w:tc>
          <w:tcPr>
            <w:tcW w:type="dxa" w:w="1474"/>
            <w:vAlign w:val="center"/>
            <w:tcMar>
              <w:top w:w="60" w:type="dxa"/>
              <w:start w:w="80" w:type="dxa"/>
              <w:bottom w:w="60" w:type="dxa"/>
              <w:end w:w="80" w:type="dxa"/>
            </w:tcMar>
          </w:tcPr>
          <w:p>
            <w:pPr>
              <w:spacing w:before="0" w:after="0" w:line="240" w:lineRule="auto"/>
              <w:jc w:val="left"/>
            </w:pPr>
            <w:r/>
            <w:r>
              <w:rPr>
                <w:rFonts w:ascii="Times New Roman" w:hAnsi="Times New Roman" w:eastAsia="宋体"/>
                <w:b w:val="0"/>
                <w:sz w:val="17"/>
              </w:rPr>
              <w:t>儿科学</w:t>
            </w:r>
          </w:p>
        </w:tc>
        <w:tc>
          <w:tcPr>
            <w:tcW w:type="dxa" w:w="1134"/>
            <w:vAlign w:val="center"/>
            <w:tcMar>
              <w:top w:w="60" w:type="dxa"/>
              <w:start w:w="80" w:type="dxa"/>
              <w:bottom w:w="60" w:type="dxa"/>
              <w:end w:w="80" w:type="dxa"/>
            </w:tcMar>
          </w:tcPr>
          <w:p>
            <w:pPr>
              <w:spacing w:before="0" w:after="0" w:line="240" w:lineRule="auto"/>
              <w:jc w:val="center"/>
            </w:pPr>
            <w:r/>
            <w:r>
              <w:rPr>
                <w:rFonts w:ascii="Times New Roman" w:hAnsi="Times New Roman" w:eastAsia="宋体"/>
                <w:b w:val="0"/>
                <w:sz w:val="17"/>
              </w:rPr>
              <w:t>58.71%</w:t>
            </w:r>
          </w:p>
        </w:tc>
        <w:tc>
          <w:tcPr>
            <w:tcW w:type="dxa" w:w="964"/>
            <w:vAlign w:val="center"/>
            <w:tcMar>
              <w:top w:w="60" w:type="dxa"/>
              <w:start w:w="80" w:type="dxa"/>
              <w:bottom w:w="60" w:type="dxa"/>
              <w:end w:w="80" w:type="dxa"/>
            </w:tcMar>
          </w:tcPr>
          <w:p>
            <w:pPr>
              <w:spacing w:before="0" w:after="0" w:line="240" w:lineRule="auto"/>
              <w:jc w:val="center"/>
            </w:pPr>
            <w:r/>
            <w:r>
              <w:rPr>
                <w:rFonts w:ascii="Times New Roman" w:hAnsi="Times New Roman" w:eastAsia="宋体"/>
                <w:b w:val="0"/>
                <w:sz w:val="17"/>
              </w:rPr>
              <w:t>-0.94</w:t>
            </w:r>
          </w:p>
        </w:tc>
        <w:tc>
          <w:tcPr>
            <w:tcW w:type="dxa" w:w="1134"/>
            <w:vAlign w:val="center"/>
            <w:tcMar>
              <w:top w:w="60" w:type="dxa"/>
              <w:start w:w="80" w:type="dxa"/>
              <w:bottom w:w="60" w:type="dxa"/>
              <w:end w:w="80" w:type="dxa"/>
            </w:tcMar>
          </w:tcPr>
          <w:p>
            <w:pPr>
              <w:spacing w:before="0" w:after="0" w:line="240" w:lineRule="auto"/>
              <w:jc w:val="center"/>
            </w:pPr>
            <w:r/>
            <w:r>
              <w:rPr>
                <w:rFonts w:ascii="Times New Roman" w:hAnsi="Times New Roman" w:eastAsia="宋体"/>
                <w:b w:val="0"/>
                <w:sz w:val="17"/>
              </w:rPr>
              <w:t>63.95%</w:t>
            </w:r>
          </w:p>
        </w:tc>
        <w:tc>
          <w:tcPr>
            <w:tcW w:type="dxa" w:w="964"/>
            <w:vAlign w:val="center"/>
            <w:tcMar>
              <w:top w:w="60" w:type="dxa"/>
              <w:start w:w="80" w:type="dxa"/>
              <w:bottom w:w="60" w:type="dxa"/>
              <w:end w:w="80" w:type="dxa"/>
            </w:tcMar>
          </w:tcPr>
          <w:p>
            <w:pPr>
              <w:spacing w:before="0" w:after="0" w:line="240" w:lineRule="auto"/>
              <w:jc w:val="center"/>
            </w:pPr>
            <w:r/>
            <w:r>
              <w:rPr>
                <w:rFonts w:ascii="Times New Roman" w:hAnsi="Times New Roman" w:eastAsia="宋体"/>
                <w:b w:val="0"/>
                <w:sz w:val="17"/>
              </w:rPr>
              <w:t>-1.50</w:t>
            </w:r>
          </w:p>
        </w:tc>
        <w:tc>
          <w:tcPr>
            <w:tcW w:type="dxa" w:w="1134"/>
            <w:vAlign w:val="center"/>
            <w:tcMar>
              <w:top w:w="60" w:type="dxa"/>
              <w:start w:w="80" w:type="dxa"/>
              <w:bottom w:w="60" w:type="dxa"/>
              <w:end w:w="80" w:type="dxa"/>
            </w:tcMar>
          </w:tcPr>
          <w:p>
            <w:pPr>
              <w:spacing w:before="0" w:after="0" w:line="240" w:lineRule="auto"/>
              <w:jc w:val="center"/>
            </w:pPr>
            <w:r/>
            <w:r>
              <w:rPr>
                <w:rFonts w:ascii="Times New Roman" w:hAnsi="Times New Roman" w:eastAsia="宋体"/>
                <w:b w:val="0"/>
                <w:sz w:val="17"/>
              </w:rPr>
              <w:t>57.93%</w:t>
            </w:r>
          </w:p>
        </w:tc>
        <w:tc>
          <w:tcPr>
            <w:tcW w:type="dxa" w:w="964"/>
            <w:vAlign w:val="center"/>
            <w:tcMar>
              <w:top w:w="60" w:type="dxa"/>
              <w:start w:w="80" w:type="dxa"/>
              <w:bottom w:w="60" w:type="dxa"/>
              <w:end w:w="80" w:type="dxa"/>
            </w:tcMar>
          </w:tcPr>
          <w:p>
            <w:pPr>
              <w:spacing w:before="0" w:after="0" w:line="240" w:lineRule="auto"/>
              <w:jc w:val="center"/>
            </w:pPr>
            <w:r/>
            <w:r>
              <w:rPr>
                <w:rFonts w:ascii="Times New Roman" w:hAnsi="Times New Roman" w:eastAsia="宋体"/>
                <w:b w:val="0"/>
                <w:sz w:val="17"/>
              </w:rPr>
              <w:t>-0.97</w:t>
            </w:r>
          </w:p>
        </w:tc>
      </w:tr>
    </w:tbl>
    <w:p>
      <w:pPr>
        <w:spacing w:after="0"/>
      </w:pPr>
    </w:p>
    <w:p>
      <w:pPr>
        <w:spacing w:lineRule="exact" w:line="560" w:before="0" w:after="0"/>
        <w:ind w:firstLine="640"/>
        <w:jc w:val="both"/>
      </w:pPr>
      <w:r>
        <w:rPr>
          <w:rFonts w:ascii="Times New Roman" w:hAnsi="Times New Roman" w:eastAsia="仿宋_GB2312"/>
          <w:b w:val="0"/>
          <w:sz w:val="32"/>
        </w:rPr>
        <w:t>（1）2025年内科学、外科学、妇产科学和儿科学均低于全国平均水平，其中外科学差距最大，为1.92个百分点；内科学、妇产科学和儿科学分别低于全国1.50、1.33和0.97个百分点。外科学和内科学是临床医学模块近期需要重点加强的学科。</w:t>
      </w:r>
    </w:p>
    <w:p>
      <w:pPr>
        <w:spacing w:lineRule="exact" w:line="560" w:before="0" w:after="0"/>
        <w:ind w:firstLine="640"/>
        <w:jc w:val="both"/>
      </w:pPr>
      <w:r>
        <w:rPr>
          <w:rFonts w:ascii="Times New Roman" w:hAnsi="Times New Roman" w:eastAsia="仿宋_GB2312"/>
          <w:b w:val="0"/>
          <w:sz w:val="32"/>
        </w:rPr>
        <w:t>（2）2025年神经内科低于全国4.14个百分点，是内科学细分知识点中差距较大的领域；骨科、肾脏内科、普通外科和神经外科分别低于全国2.53、2.20、2.14和1.94个百分点，应纳入课程组年度重点分析范围。</w:t>
      </w:r>
    </w:p>
    <w:p>
      <w:pPr>
        <w:spacing w:lineRule="exact" w:line="560" w:before="0" w:after="0"/>
        <w:ind w:firstLine="640"/>
        <w:jc w:val="both"/>
      </w:pPr>
      <w:r>
        <w:rPr>
          <w:rFonts w:ascii="Times New Roman" w:hAnsi="Times New Roman" w:eastAsia="仿宋_GB2312"/>
          <w:b w:val="0"/>
          <w:sz w:val="32"/>
        </w:rPr>
        <w:t>（3）儿科学原始掌握率在四个临床学科中相对较低，但2025年与全国差距为0.97个百分点，是四个临床学科中差距最小者。后续改进应兼顾基本知识掌握、临床思维和相对全国水平。</w:t>
      </w:r>
    </w:p>
    <w:p>
      <w:pPr>
        <w:spacing w:lineRule="exact" w:line="560" w:before="0" w:after="0"/>
        <w:ind w:firstLine="640"/>
        <w:jc w:val="both"/>
      </w:pPr>
      <w:r>
        <w:rPr>
          <w:rFonts w:ascii="Times New Roman" w:hAnsi="Times New Roman" w:eastAsia="仿宋_GB2312"/>
          <w:b w:val="0"/>
          <w:sz w:val="32"/>
        </w:rPr>
        <w:t>（4）妇产科学原始掌握率由2023年的65.00%提高至2025年的66.86%，2025年与全国差距为1.33个百分点。学校应继续巩固课程建设成效，进一步提高病例分析、诊断决策和综合应用能力。</w:t>
      </w:r>
    </w:p>
    <w:p>
      <w:pPr>
        <w:pStyle w:val="Heading2"/>
        <w:keepNext/>
        <w:spacing w:before="120" w:after="40" w:lineRule="exact" w:line="560"/>
        <w:jc w:val="left"/>
      </w:pPr>
      <w:r>
        <w:rPr>
          <w:rFonts w:ascii="Times New Roman" w:hAnsi="Times New Roman" w:eastAsia="黑体"/>
          <w:b/>
          <w:sz w:val="32"/>
        </w:rPr>
        <w:t>3.4 医学人文与预防医学模块</w:t>
      </w:r>
    </w:p>
    <w:p>
      <w:pPr>
        <w:spacing w:before="120" w:after="80"/>
        <w:jc w:val="center"/>
      </w:pPr>
      <w:r>
        <w:rPr>
          <w:rFonts w:ascii="Times New Roman" w:hAnsi="Times New Roman" w:eastAsia="宋体"/>
          <w:b/>
          <w:sz w:val="24"/>
        </w:rPr>
        <w:t>表9  医学人文与预防医学主要学科或知识点与全国差值</w:t>
      </w:r>
    </w:p>
    <w:tbl>
      <w:tblPr>
        <w:tblStyle w:val="TableGrid"/>
        <w:tblW w:type="dxa" w:w="9072"/>
        <w:jc w:val="center"/>
        <w:tblLayout w:type="autofit"/>
        <w:tblLook w:firstColumn="1" w:firstRow="1" w:lastColumn="0" w:lastRow="0" w:noHBand="0" w:noVBand="1" w:val="04A0"/>
      </w:tblPr>
      <w:tblGrid>
        <w:gridCol w:w="2211"/>
        <w:gridCol w:w="2211"/>
        <w:gridCol w:w="2211"/>
        <w:gridCol w:w="2211"/>
      </w:tblGrid>
      <w:tr>
        <w:trPr>
          <w:tblHeader w:val="true"/>
          <w:cantSplit/>
        </w:trPr>
        <w:tc>
          <w:tcPr>
            <w:tcW w:type="dxa" w:w="3402"/>
            <w:vAlign w:val="center"/>
            <w:shd w:fill="D9E2F3"/>
            <w:tcMar>
              <w:top w:w="60" w:type="dxa"/>
              <w:start w:w="80" w:type="dxa"/>
              <w:bottom w:w="60" w:type="dxa"/>
              <w:end w:w="80" w:type="dxa"/>
            </w:tcMar>
          </w:tcPr>
          <w:p>
            <w:pPr>
              <w:spacing w:before="0" w:after="0" w:line="240" w:lineRule="auto"/>
              <w:jc w:val="center"/>
            </w:pPr>
            <w:r/>
            <w:r>
              <w:rPr>
                <w:rFonts w:ascii="Times New Roman" w:hAnsi="Times New Roman" w:eastAsia="宋体"/>
                <w:b/>
                <w:sz w:val="20"/>
              </w:rPr>
              <w:t>学科或知识点</w:t>
            </w:r>
          </w:p>
        </w:tc>
        <w:tc>
          <w:tcPr>
            <w:tcW w:type="dxa" w:w="1701"/>
            <w:vAlign w:val="center"/>
            <w:shd w:fill="D9E2F3"/>
            <w:tcMar>
              <w:top w:w="60" w:type="dxa"/>
              <w:start w:w="80" w:type="dxa"/>
              <w:bottom w:w="60" w:type="dxa"/>
              <w:end w:w="80" w:type="dxa"/>
            </w:tcMar>
          </w:tcPr>
          <w:p>
            <w:pPr>
              <w:spacing w:before="0" w:after="0" w:line="240" w:lineRule="auto"/>
              <w:jc w:val="center"/>
            </w:pPr>
            <w:r/>
            <w:r>
              <w:rPr>
                <w:rFonts w:ascii="Times New Roman" w:hAnsi="Times New Roman" w:eastAsia="宋体"/>
                <w:b/>
                <w:sz w:val="20"/>
              </w:rPr>
              <w:t>2023年差值</w:t>
            </w:r>
          </w:p>
        </w:tc>
        <w:tc>
          <w:tcPr>
            <w:tcW w:type="dxa" w:w="1701"/>
            <w:vAlign w:val="center"/>
            <w:shd w:fill="D9E2F3"/>
            <w:tcMar>
              <w:top w:w="60" w:type="dxa"/>
              <w:start w:w="80" w:type="dxa"/>
              <w:bottom w:w="60" w:type="dxa"/>
              <w:end w:w="80" w:type="dxa"/>
            </w:tcMar>
          </w:tcPr>
          <w:p>
            <w:pPr>
              <w:spacing w:before="0" w:after="0" w:line="240" w:lineRule="auto"/>
              <w:jc w:val="center"/>
            </w:pPr>
            <w:r/>
            <w:r>
              <w:rPr>
                <w:rFonts w:ascii="Times New Roman" w:hAnsi="Times New Roman" w:eastAsia="宋体"/>
                <w:b/>
                <w:sz w:val="20"/>
              </w:rPr>
              <w:t>2024年差值</w:t>
            </w:r>
          </w:p>
        </w:tc>
        <w:tc>
          <w:tcPr>
            <w:tcW w:type="dxa" w:w="1701"/>
            <w:vAlign w:val="center"/>
            <w:shd w:fill="D9E2F3"/>
            <w:tcMar>
              <w:top w:w="60" w:type="dxa"/>
              <w:start w:w="80" w:type="dxa"/>
              <w:bottom w:w="60" w:type="dxa"/>
              <w:end w:w="80" w:type="dxa"/>
            </w:tcMar>
          </w:tcPr>
          <w:p>
            <w:pPr>
              <w:spacing w:before="0" w:after="0" w:line="240" w:lineRule="auto"/>
              <w:jc w:val="center"/>
            </w:pPr>
            <w:r/>
            <w:r>
              <w:rPr>
                <w:rFonts w:ascii="Times New Roman" w:hAnsi="Times New Roman" w:eastAsia="宋体"/>
                <w:b/>
                <w:sz w:val="20"/>
              </w:rPr>
              <w:t>2025年差值</w:t>
            </w:r>
          </w:p>
        </w:tc>
      </w:tr>
      <w:tr>
        <w:trPr>
          <w:cantSplit/>
        </w:trPr>
        <w:tc>
          <w:tcPr>
            <w:tcW w:type="dxa" w:w="3402"/>
            <w:vAlign w:val="center"/>
            <w:tcMar>
              <w:top w:w="60" w:type="dxa"/>
              <w:start w:w="80" w:type="dxa"/>
              <w:bottom w:w="60" w:type="dxa"/>
              <w:end w:w="80" w:type="dxa"/>
            </w:tcMar>
          </w:tcPr>
          <w:p>
            <w:pPr>
              <w:spacing w:before="0" w:after="0" w:line="240" w:lineRule="auto"/>
              <w:jc w:val="left"/>
            </w:pPr>
            <w:r/>
            <w:r>
              <w:rPr>
                <w:rFonts w:ascii="Times New Roman" w:hAnsi="Times New Roman" w:eastAsia="宋体"/>
                <w:b w:val="0"/>
                <w:sz w:val="20"/>
              </w:rPr>
              <w:t>卫生法规</w:t>
            </w:r>
          </w:p>
        </w:tc>
        <w:tc>
          <w:tcPr>
            <w:tcW w:type="dxa" w:w="1701"/>
            <w:vAlign w:val="center"/>
            <w:tcMar>
              <w:top w:w="60" w:type="dxa"/>
              <w:start w:w="80" w:type="dxa"/>
              <w:bottom w:w="60" w:type="dxa"/>
              <w:end w:w="80" w:type="dxa"/>
            </w:tcMar>
          </w:tcPr>
          <w:p>
            <w:pPr>
              <w:spacing w:before="0" w:after="0" w:line="240" w:lineRule="auto"/>
              <w:jc w:val="center"/>
            </w:pPr>
            <w:r/>
            <w:r>
              <w:rPr>
                <w:rFonts w:ascii="Times New Roman" w:hAnsi="Times New Roman" w:eastAsia="宋体"/>
                <w:b w:val="0"/>
                <w:sz w:val="20"/>
              </w:rPr>
              <w:t>-1.19</w:t>
            </w:r>
          </w:p>
        </w:tc>
        <w:tc>
          <w:tcPr>
            <w:tcW w:type="dxa" w:w="1701"/>
            <w:vAlign w:val="center"/>
            <w:tcMar>
              <w:top w:w="60" w:type="dxa"/>
              <w:start w:w="80" w:type="dxa"/>
              <w:bottom w:w="60" w:type="dxa"/>
              <w:end w:w="80" w:type="dxa"/>
            </w:tcMar>
          </w:tcPr>
          <w:p>
            <w:pPr>
              <w:spacing w:before="0" w:after="0" w:line="240" w:lineRule="auto"/>
              <w:jc w:val="center"/>
            </w:pPr>
            <w:r/>
            <w:r>
              <w:rPr>
                <w:rFonts w:ascii="Times New Roman" w:hAnsi="Times New Roman" w:eastAsia="宋体"/>
                <w:b w:val="0"/>
                <w:sz w:val="20"/>
              </w:rPr>
              <w:t>+0.30</w:t>
            </w:r>
          </w:p>
        </w:tc>
        <w:tc>
          <w:tcPr>
            <w:tcW w:type="dxa" w:w="1701"/>
            <w:vAlign w:val="center"/>
            <w:tcMar>
              <w:top w:w="60" w:type="dxa"/>
              <w:start w:w="80" w:type="dxa"/>
              <w:bottom w:w="60" w:type="dxa"/>
              <w:end w:w="80" w:type="dxa"/>
            </w:tcMar>
          </w:tcPr>
          <w:p>
            <w:pPr>
              <w:spacing w:before="0" w:after="0" w:line="240" w:lineRule="auto"/>
              <w:jc w:val="center"/>
            </w:pPr>
            <w:r/>
            <w:r>
              <w:rPr>
                <w:rFonts w:ascii="Times New Roman" w:hAnsi="Times New Roman" w:eastAsia="宋体"/>
                <w:b w:val="0"/>
                <w:sz w:val="20"/>
              </w:rPr>
              <w:t>+0.39</w:t>
            </w:r>
          </w:p>
        </w:tc>
      </w:tr>
      <w:tr>
        <w:trPr>
          <w:cantSplit/>
        </w:trPr>
        <w:tc>
          <w:tcPr>
            <w:tcW w:type="dxa" w:w="3402"/>
            <w:vAlign w:val="center"/>
            <w:tcMar>
              <w:top w:w="60" w:type="dxa"/>
              <w:start w:w="80" w:type="dxa"/>
              <w:bottom w:w="60" w:type="dxa"/>
              <w:end w:w="80" w:type="dxa"/>
            </w:tcMar>
          </w:tcPr>
          <w:p>
            <w:pPr>
              <w:spacing w:before="0" w:after="0" w:line="240" w:lineRule="auto"/>
              <w:jc w:val="left"/>
            </w:pPr>
            <w:r/>
            <w:r>
              <w:rPr>
                <w:rFonts w:ascii="Times New Roman" w:hAnsi="Times New Roman" w:eastAsia="宋体"/>
                <w:b w:val="0"/>
                <w:sz w:val="20"/>
              </w:rPr>
              <w:t>医学伦理学</w:t>
            </w:r>
          </w:p>
        </w:tc>
        <w:tc>
          <w:tcPr>
            <w:tcW w:type="dxa" w:w="1701"/>
            <w:vAlign w:val="center"/>
            <w:tcMar>
              <w:top w:w="60" w:type="dxa"/>
              <w:start w:w="80" w:type="dxa"/>
              <w:bottom w:w="60" w:type="dxa"/>
              <w:end w:w="80" w:type="dxa"/>
            </w:tcMar>
          </w:tcPr>
          <w:p>
            <w:pPr>
              <w:spacing w:before="0" w:after="0" w:line="240" w:lineRule="auto"/>
              <w:jc w:val="center"/>
            </w:pPr>
            <w:r/>
            <w:r>
              <w:rPr>
                <w:rFonts w:ascii="Times New Roman" w:hAnsi="Times New Roman" w:eastAsia="宋体"/>
                <w:b w:val="0"/>
                <w:sz w:val="20"/>
              </w:rPr>
              <w:t>-1.19</w:t>
            </w:r>
          </w:p>
        </w:tc>
        <w:tc>
          <w:tcPr>
            <w:tcW w:type="dxa" w:w="1701"/>
            <w:vAlign w:val="center"/>
            <w:tcMar>
              <w:top w:w="60" w:type="dxa"/>
              <w:start w:w="80" w:type="dxa"/>
              <w:bottom w:w="60" w:type="dxa"/>
              <w:end w:w="80" w:type="dxa"/>
            </w:tcMar>
          </w:tcPr>
          <w:p>
            <w:pPr>
              <w:spacing w:before="0" w:after="0" w:line="240" w:lineRule="auto"/>
              <w:jc w:val="center"/>
            </w:pPr>
            <w:r/>
            <w:r>
              <w:rPr>
                <w:rFonts w:ascii="Times New Roman" w:hAnsi="Times New Roman" w:eastAsia="宋体"/>
                <w:b w:val="0"/>
                <w:sz w:val="20"/>
              </w:rPr>
              <w:t>-1.17</w:t>
            </w:r>
          </w:p>
        </w:tc>
        <w:tc>
          <w:tcPr>
            <w:tcW w:type="dxa" w:w="1701"/>
            <w:vAlign w:val="center"/>
            <w:tcMar>
              <w:top w:w="60" w:type="dxa"/>
              <w:start w:w="80" w:type="dxa"/>
              <w:bottom w:w="60" w:type="dxa"/>
              <w:end w:w="80" w:type="dxa"/>
            </w:tcMar>
          </w:tcPr>
          <w:p>
            <w:pPr>
              <w:spacing w:before="0" w:after="0" w:line="240" w:lineRule="auto"/>
              <w:jc w:val="center"/>
            </w:pPr>
            <w:r/>
            <w:r>
              <w:rPr>
                <w:rFonts w:ascii="Times New Roman" w:hAnsi="Times New Roman" w:eastAsia="宋体"/>
                <w:b w:val="0"/>
                <w:sz w:val="20"/>
              </w:rPr>
              <w:t>-2.46</w:t>
            </w:r>
          </w:p>
        </w:tc>
      </w:tr>
      <w:tr>
        <w:trPr>
          <w:cantSplit/>
        </w:trPr>
        <w:tc>
          <w:tcPr>
            <w:tcW w:type="dxa" w:w="3402"/>
            <w:vAlign w:val="center"/>
            <w:tcMar>
              <w:top w:w="60" w:type="dxa"/>
              <w:start w:w="80" w:type="dxa"/>
              <w:bottom w:w="60" w:type="dxa"/>
              <w:end w:w="80" w:type="dxa"/>
            </w:tcMar>
          </w:tcPr>
          <w:p>
            <w:pPr>
              <w:spacing w:before="0" w:after="0" w:line="240" w:lineRule="auto"/>
              <w:jc w:val="left"/>
            </w:pPr>
            <w:r/>
            <w:r>
              <w:rPr>
                <w:rFonts w:ascii="Times New Roman" w:hAnsi="Times New Roman" w:eastAsia="宋体"/>
                <w:b w:val="0"/>
                <w:sz w:val="20"/>
              </w:rPr>
              <w:t>医学心理学</w:t>
            </w:r>
          </w:p>
        </w:tc>
        <w:tc>
          <w:tcPr>
            <w:tcW w:type="dxa" w:w="1701"/>
            <w:vAlign w:val="center"/>
            <w:tcMar>
              <w:top w:w="60" w:type="dxa"/>
              <w:start w:w="80" w:type="dxa"/>
              <w:bottom w:w="60" w:type="dxa"/>
              <w:end w:w="80" w:type="dxa"/>
            </w:tcMar>
          </w:tcPr>
          <w:p>
            <w:pPr>
              <w:spacing w:before="0" w:after="0" w:line="240" w:lineRule="auto"/>
              <w:jc w:val="center"/>
            </w:pPr>
            <w:r/>
            <w:r>
              <w:rPr>
                <w:rFonts w:ascii="Times New Roman" w:hAnsi="Times New Roman" w:eastAsia="宋体"/>
                <w:b w:val="0"/>
                <w:sz w:val="20"/>
              </w:rPr>
              <w:t>-3.44</w:t>
            </w:r>
          </w:p>
        </w:tc>
        <w:tc>
          <w:tcPr>
            <w:tcW w:type="dxa" w:w="1701"/>
            <w:vAlign w:val="center"/>
            <w:tcMar>
              <w:top w:w="60" w:type="dxa"/>
              <w:start w:w="80" w:type="dxa"/>
              <w:bottom w:w="60" w:type="dxa"/>
              <w:end w:w="80" w:type="dxa"/>
            </w:tcMar>
          </w:tcPr>
          <w:p>
            <w:pPr>
              <w:spacing w:before="0" w:after="0" w:line="240" w:lineRule="auto"/>
              <w:jc w:val="center"/>
            </w:pPr>
            <w:r/>
            <w:r>
              <w:rPr>
                <w:rFonts w:ascii="Times New Roman" w:hAnsi="Times New Roman" w:eastAsia="宋体"/>
                <w:b w:val="0"/>
                <w:sz w:val="20"/>
              </w:rPr>
              <w:t>-1.25</w:t>
            </w:r>
          </w:p>
        </w:tc>
        <w:tc>
          <w:tcPr>
            <w:tcW w:type="dxa" w:w="1701"/>
            <w:vAlign w:val="center"/>
            <w:tcMar>
              <w:top w:w="60" w:type="dxa"/>
              <w:start w:w="80" w:type="dxa"/>
              <w:bottom w:w="60" w:type="dxa"/>
              <w:end w:w="80" w:type="dxa"/>
            </w:tcMar>
          </w:tcPr>
          <w:p>
            <w:pPr>
              <w:spacing w:before="0" w:after="0" w:line="240" w:lineRule="auto"/>
              <w:jc w:val="center"/>
            </w:pPr>
            <w:r/>
            <w:r>
              <w:rPr>
                <w:rFonts w:ascii="Times New Roman" w:hAnsi="Times New Roman" w:eastAsia="宋体"/>
                <w:b w:val="0"/>
                <w:sz w:val="20"/>
              </w:rPr>
              <w:t>-2.33</w:t>
            </w:r>
          </w:p>
        </w:tc>
      </w:tr>
      <w:tr>
        <w:trPr>
          <w:cantSplit/>
        </w:trPr>
        <w:tc>
          <w:tcPr>
            <w:tcW w:type="dxa" w:w="3402"/>
            <w:vAlign w:val="center"/>
            <w:tcMar>
              <w:top w:w="60" w:type="dxa"/>
              <w:start w:w="80" w:type="dxa"/>
              <w:bottom w:w="60" w:type="dxa"/>
              <w:end w:w="80" w:type="dxa"/>
            </w:tcMar>
          </w:tcPr>
          <w:p>
            <w:pPr>
              <w:spacing w:before="0" w:after="0" w:line="240" w:lineRule="auto"/>
              <w:jc w:val="left"/>
            </w:pPr>
            <w:r/>
            <w:r>
              <w:rPr>
                <w:rFonts w:ascii="Times New Roman" w:hAnsi="Times New Roman" w:eastAsia="宋体"/>
                <w:b w:val="0"/>
                <w:sz w:val="20"/>
              </w:rPr>
              <w:t>预防医学整体</w:t>
            </w:r>
          </w:p>
        </w:tc>
        <w:tc>
          <w:tcPr>
            <w:tcW w:type="dxa" w:w="1701"/>
            <w:vAlign w:val="center"/>
            <w:tcMar>
              <w:top w:w="60" w:type="dxa"/>
              <w:start w:w="80" w:type="dxa"/>
              <w:bottom w:w="60" w:type="dxa"/>
              <w:end w:w="80" w:type="dxa"/>
            </w:tcMar>
          </w:tcPr>
          <w:p>
            <w:pPr>
              <w:spacing w:before="0" w:after="0" w:line="240" w:lineRule="auto"/>
              <w:jc w:val="center"/>
            </w:pPr>
            <w:r/>
            <w:r>
              <w:rPr>
                <w:rFonts w:ascii="Times New Roman" w:hAnsi="Times New Roman" w:eastAsia="宋体"/>
                <w:b w:val="0"/>
                <w:sz w:val="20"/>
              </w:rPr>
              <w:t>-2.19</w:t>
            </w:r>
          </w:p>
        </w:tc>
        <w:tc>
          <w:tcPr>
            <w:tcW w:type="dxa" w:w="1701"/>
            <w:vAlign w:val="center"/>
            <w:tcMar>
              <w:top w:w="60" w:type="dxa"/>
              <w:start w:w="80" w:type="dxa"/>
              <w:bottom w:w="60" w:type="dxa"/>
              <w:end w:w="80" w:type="dxa"/>
            </w:tcMar>
          </w:tcPr>
          <w:p>
            <w:pPr>
              <w:spacing w:before="0" w:after="0" w:line="240" w:lineRule="auto"/>
              <w:jc w:val="center"/>
            </w:pPr>
            <w:r/>
            <w:r>
              <w:rPr>
                <w:rFonts w:ascii="Times New Roman" w:hAnsi="Times New Roman" w:eastAsia="宋体"/>
                <w:b w:val="0"/>
                <w:sz w:val="20"/>
              </w:rPr>
              <w:t>-2.35</w:t>
            </w:r>
          </w:p>
        </w:tc>
        <w:tc>
          <w:tcPr>
            <w:tcW w:type="dxa" w:w="1701"/>
            <w:vAlign w:val="center"/>
            <w:tcMar>
              <w:top w:w="60" w:type="dxa"/>
              <w:start w:w="80" w:type="dxa"/>
              <w:bottom w:w="60" w:type="dxa"/>
              <w:end w:w="80" w:type="dxa"/>
            </w:tcMar>
          </w:tcPr>
          <w:p>
            <w:pPr>
              <w:spacing w:before="0" w:after="0" w:line="240" w:lineRule="auto"/>
              <w:jc w:val="center"/>
            </w:pPr>
            <w:r/>
            <w:r>
              <w:rPr>
                <w:rFonts w:ascii="Times New Roman" w:hAnsi="Times New Roman" w:eastAsia="宋体"/>
                <w:b w:val="0"/>
                <w:sz w:val="20"/>
              </w:rPr>
              <w:t>-1.89</w:t>
            </w:r>
          </w:p>
        </w:tc>
      </w:tr>
      <w:tr>
        <w:trPr>
          <w:cantSplit/>
        </w:trPr>
        <w:tc>
          <w:tcPr>
            <w:tcW w:type="dxa" w:w="3402"/>
            <w:vAlign w:val="center"/>
            <w:tcMar>
              <w:top w:w="60" w:type="dxa"/>
              <w:start w:w="80" w:type="dxa"/>
              <w:bottom w:w="60" w:type="dxa"/>
              <w:end w:w="80" w:type="dxa"/>
            </w:tcMar>
          </w:tcPr>
          <w:p>
            <w:pPr>
              <w:spacing w:before="0" w:after="0" w:line="240" w:lineRule="auto"/>
              <w:jc w:val="left"/>
            </w:pPr>
            <w:r/>
            <w:r>
              <w:rPr>
                <w:rFonts w:ascii="Times New Roman" w:hAnsi="Times New Roman" w:eastAsia="宋体"/>
                <w:b w:val="0"/>
                <w:sz w:val="20"/>
              </w:rPr>
              <w:t>预防医学基本原理与方法</w:t>
            </w:r>
          </w:p>
        </w:tc>
        <w:tc>
          <w:tcPr>
            <w:tcW w:type="dxa" w:w="1701"/>
            <w:vAlign w:val="center"/>
            <w:tcMar>
              <w:top w:w="60" w:type="dxa"/>
              <w:start w:w="80" w:type="dxa"/>
              <w:bottom w:w="60" w:type="dxa"/>
              <w:end w:w="80" w:type="dxa"/>
            </w:tcMar>
          </w:tcPr>
          <w:p>
            <w:pPr>
              <w:spacing w:before="0" w:after="0" w:line="240" w:lineRule="auto"/>
              <w:jc w:val="center"/>
            </w:pPr>
            <w:r/>
            <w:r>
              <w:rPr>
                <w:rFonts w:ascii="Times New Roman" w:hAnsi="Times New Roman" w:eastAsia="宋体"/>
                <w:b w:val="0"/>
                <w:sz w:val="20"/>
              </w:rPr>
              <w:t>—</w:t>
            </w:r>
          </w:p>
        </w:tc>
        <w:tc>
          <w:tcPr>
            <w:tcW w:type="dxa" w:w="1701"/>
            <w:vAlign w:val="center"/>
            <w:tcMar>
              <w:top w:w="60" w:type="dxa"/>
              <w:start w:w="80" w:type="dxa"/>
              <w:bottom w:w="60" w:type="dxa"/>
              <w:end w:w="80" w:type="dxa"/>
            </w:tcMar>
          </w:tcPr>
          <w:p>
            <w:pPr>
              <w:spacing w:before="0" w:after="0" w:line="240" w:lineRule="auto"/>
              <w:jc w:val="center"/>
            </w:pPr>
            <w:r/>
            <w:r>
              <w:rPr>
                <w:rFonts w:ascii="Times New Roman" w:hAnsi="Times New Roman" w:eastAsia="宋体"/>
                <w:b w:val="0"/>
                <w:sz w:val="20"/>
              </w:rPr>
              <w:t>-2.47</w:t>
            </w:r>
          </w:p>
        </w:tc>
        <w:tc>
          <w:tcPr>
            <w:tcW w:type="dxa" w:w="1701"/>
            <w:vAlign w:val="center"/>
            <w:tcMar>
              <w:top w:w="60" w:type="dxa"/>
              <w:start w:w="80" w:type="dxa"/>
              <w:bottom w:w="60" w:type="dxa"/>
              <w:end w:w="80" w:type="dxa"/>
            </w:tcMar>
          </w:tcPr>
          <w:p>
            <w:pPr>
              <w:spacing w:before="0" w:after="0" w:line="240" w:lineRule="auto"/>
              <w:jc w:val="center"/>
            </w:pPr>
            <w:r/>
            <w:r>
              <w:rPr>
                <w:rFonts w:ascii="Times New Roman" w:hAnsi="Times New Roman" w:eastAsia="宋体"/>
                <w:b w:val="0"/>
                <w:sz w:val="20"/>
              </w:rPr>
              <w:t>-3.36</w:t>
            </w:r>
          </w:p>
        </w:tc>
      </w:tr>
    </w:tbl>
    <w:p>
      <w:pPr>
        <w:spacing w:after="0"/>
      </w:pPr>
    </w:p>
    <w:p>
      <w:pPr>
        <w:spacing w:lineRule="exact" w:line="560" w:before="0" w:after="0"/>
        <w:ind w:firstLine="640"/>
        <w:jc w:val="both"/>
      </w:pPr>
      <w:r>
        <w:rPr>
          <w:rFonts w:ascii="Times New Roman" w:hAnsi="Times New Roman" w:eastAsia="仿宋_GB2312"/>
          <w:b w:val="0"/>
          <w:sz w:val="32"/>
        </w:rPr>
        <w:t>卫生法规在2024年和2025年分别高于全国0.30和0.39个百分点，是医学人文模块中相对表现较好的学科。医学心理学连续三年低于全国，2025年差距为2.33个百分点；医学伦理学2025年差距扩大至2.46个百分点。学校应结合2026年医学人文考试大纲调整，完善医学伦理、医学心理、卫生健康法律法规和医学人文实践教学。</w:t>
      </w:r>
    </w:p>
    <w:p>
      <w:pPr>
        <w:spacing w:lineRule="exact" w:line="560" w:before="0" w:after="0"/>
        <w:ind w:firstLine="640"/>
        <w:jc w:val="both"/>
      </w:pPr>
      <w:r>
        <w:rPr>
          <w:rFonts w:ascii="Times New Roman" w:hAnsi="Times New Roman" w:eastAsia="仿宋_GB2312"/>
          <w:b w:val="0"/>
          <w:sz w:val="32"/>
        </w:rPr>
        <w:t>预防医学整体连续三年低于全国平均水平，其中基本原理与方法在2024年和2025年分别低于全国2.47和3.36个百分点。应进一步加强流行病学、卫生统计学、疾病预防控制、健康促进和临床预防服务之间的贯通教学，突出医防融合和实际问题解决能力。</w:t>
      </w:r>
    </w:p>
    <w:p>
      <w:pPr>
        <w:pStyle w:val="Heading1"/>
        <w:keepNext/>
        <w:spacing w:before="200" w:after="100" w:lineRule="exact" w:line="600"/>
        <w:jc w:val="left"/>
      </w:pPr>
      <w:r>
        <w:rPr>
          <w:rFonts w:ascii="Times New Roman" w:hAnsi="Times New Roman" w:eastAsia="黑体"/>
          <w:b/>
          <w:sz w:val="40"/>
        </w:rPr>
        <w:t>四、认知层次掌握情况</w:t>
      </w:r>
    </w:p>
    <w:p>
      <w:pPr>
        <w:spacing w:before="120" w:after="80"/>
        <w:jc w:val="center"/>
      </w:pPr>
      <w:r>
        <w:rPr>
          <w:rFonts w:ascii="Times New Roman" w:hAnsi="Times New Roman" w:eastAsia="宋体"/>
          <w:b/>
          <w:sz w:val="24"/>
        </w:rPr>
        <w:t>表10  2025年各模块不同认知层次与全国差值</w:t>
      </w:r>
    </w:p>
    <w:tbl>
      <w:tblPr>
        <w:tblStyle w:val="TableGrid"/>
        <w:tblW w:type="dxa" w:w="9072"/>
        <w:jc w:val="center"/>
        <w:tblLayout w:type="autofit"/>
        <w:tblLook w:firstColumn="1" w:firstRow="1" w:lastColumn="0" w:lastRow="0" w:noHBand="0" w:noVBand="1" w:val="04A0"/>
      </w:tblPr>
      <w:tblGrid>
        <w:gridCol w:w="2211"/>
        <w:gridCol w:w="2211"/>
        <w:gridCol w:w="2211"/>
        <w:gridCol w:w="2211"/>
      </w:tblGrid>
      <w:tr>
        <w:trPr>
          <w:tblHeader w:val="true"/>
          <w:cantSplit/>
        </w:trPr>
        <w:tc>
          <w:tcPr>
            <w:tcW w:type="dxa" w:w="2835"/>
            <w:vAlign w:val="center"/>
            <w:shd w:fill="D9E2F3"/>
            <w:tcMar>
              <w:top w:w="60" w:type="dxa"/>
              <w:start w:w="80" w:type="dxa"/>
              <w:bottom w:w="60" w:type="dxa"/>
              <w:end w:w="80" w:type="dxa"/>
            </w:tcMar>
          </w:tcPr>
          <w:p>
            <w:pPr>
              <w:spacing w:before="0" w:after="0" w:line="240" w:lineRule="auto"/>
              <w:jc w:val="center"/>
            </w:pPr>
            <w:r/>
            <w:r>
              <w:rPr>
                <w:rFonts w:ascii="Times New Roman" w:hAnsi="Times New Roman" w:eastAsia="宋体"/>
                <w:b/>
                <w:sz w:val="21"/>
              </w:rPr>
              <w:t>模块</w:t>
            </w:r>
          </w:p>
        </w:tc>
        <w:tc>
          <w:tcPr>
            <w:tcW w:type="dxa" w:w="1928"/>
            <w:vAlign w:val="center"/>
            <w:shd w:fill="D9E2F3"/>
            <w:tcMar>
              <w:top w:w="60" w:type="dxa"/>
              <w:start w:w="80" w:type="dxa"/>
              <w:bottom w:w="60" w:type="dxa"/>
              <w:end w:w="80" w:type="dxa"/>
            </w:tcMar>
          </w:tcPr>
          <w:p>
            <w:pPr>
              <w:spacing w:before="0" w:after="0" w:line="240" w:lineRule="auto"/>
              <w:jc w:val="center"/>
            </w:pPr>
            <w:r/>
            <w:r>
              <w:rPr>
                <w:rFonts w:ascii="Times New Roman" w:hAnsi="Times New Roman" w:eastAsia="宋体"/>
                <w:b/>
                <w:sz w:val="21"/>
              </w:rPr>
              <w:t>记忆层差值</w:t>
            </w:r>
          </w:p>
        </w:tc>
        <w:tc>
          <w:tcPr>
            <w:tcW w:type="dxa" w:w="1928"/>
            <w:vAlign w:val="center"/>
            <w:shd w:fill="D9E2F3"/>
            <w:tcMar>
              <w:top w:w="60" w:type="dxa"/>
              <w:start w:w="80" w:type="dxa"/>
              <w:bottom w:w="60" w:type="dxa"/>
              <w:end w:w="80" w:type="dxa"/>
            </w:tcMar>
          </w:tcPr>
          <w:p>
            <w:pPr>
              <w:spacing w:before="0" w:after="0" w:line="240" w:lineRule="auto"/>
              <w:jc w:val="center"/>
            </w:pPr>
            <w:r/>
            <w:r>
              <w:rPr>
                <w:rFonts w:ascii="Times New Roman" w:hAnsi="Times New Roman" w:eastAsia="宋体"/>
                <w:b/>
                <w:sz w:val="21"/>
              </w:rPr>
              <w:t>理解层差值</w:t>
            </w:r>
          </w:p>
        </w:tc>
        <w:tc>
          <w:tcPr>
            <w:tcW w:type="dxa" w:w="1928"/>
            <w:vAlign w:val="center"/>
            <w:shd w:fill="D9E2F3"/>
            <w:tcMar>
              <w:top w:w="60" w:type="dxa"/>
              <w:start w:w="80" w:type="dxa"/>
              <w:bottom w:w="60" w:type="dxa"/>
              <w:end w:w="80" w:type="dxa"/>
            </w:tcMar>
          </w:tcPr>
          <w:p>
            <w:pPr>
              <w:spacing w:before="0" w:after="0" w:line="240" w:lineRule="auto"/>
              <w:jc w:val="center"/>
            </w:pPr>
            <w:r/>
            <w:r>
              <w:rPr>
                <w:rFonts w:ascii="Times New Roman" w:hAnsi="Times New Roman" w:eastAsia="宋体"/>
                <w:b/>
                <w:sz w:val="21"/>
              </w:rPr>
              <w:t>应用层差值</w:t>
            </w:r>
          </w:p>
        </w:tc>
      </w:tr>
      <w:tr>
        <w:trPr>
          <w:cantSplit/>
        </w:trPr>
        <w:tc>
          <w:tcPr>
            <w:tcW w:type="dxa" w:w="2835"/>
            <w:vAlign w:val="center"/>
            <w:tcMar>
              <w:top w:w="60" w:type="dxa"/>
              <w:start w:w="80" w:type="dxa"/>
              <w:bottom w:w="60" w:type="dxa"/>
              <w:end w:w="80" w:type="dxa"/>
            </w:tcMar>
          </w:tcPr>
          <w:p>
            <w:pPr>
              <w:spacing w:before="0" w:after="0" w:line="240" w:lineRule="auto"/>
              <w:jc w:val="center"/>
            </w:pPr>
            <w:r/>
            <w:r>
              <w:rPr>
                <w:rFonts w:ascii="Times New Roman" w:hAnsi="Times New Roman" w:eastAsia="宋体"/>
                <w:b w:val="0"/>
                <w:sz w:val="21"/>
              </w:rPr>
              <w:t>基础医学</w:t>
            </w:r>
          </w:p>
        </w:tc>
        <w:tc>
          <w:tcPr>
            <w:tcW w:type="dxa" w:w="1928"/>
            <w:vAlign w:val="center"/>
            <w:tcMar>
              <w:top w:w="60" w:type="dxa"/>
              <w:start w:w="80" w:type="dxa"/>
              <w:bottom w:w="60" w:type="dxa"/>
              <w:end w:w="80" w:type="dxa"/>
            </w:tcMar>
          </w:tcPr>
          <w:p>
            <w:pPr>
              <w:spacing w:before="0" w:after="0" w:line="240" w:lineRule="auto"/>
              <w:jc w:val="center"/>
            </w:pPr>
            <w:r/>
            <w:r>
              <w:rPr>
                <w:rFonts w:ascii="Times New Roman" w:hAnsi="Times New Roman" w:eastAsia="宋体"/>
                <w:b w:val="0"/>
                <w:sz w:val="21"/>
              </w:rPr>
              <w:t>-0.77</w:t>
            </w:r>
          </w:p>
        </w:tc>
        <w:tc>
          <w:tcPr>
            <w:tcW w:type="dxa" w:w="1928"/>
            <w:vAlign w:val="center"/>
            <w:tcMar>
              <w:top w:w="60" w:type="dxa"/>
              <w:start w:w="80" w:type="dxa"/>
              <w:bottom w:w="60" w:type="dxa"/>
              <w:end w:w="80" w:type="dxa"/>
            </w:tcMar>
          </w:tcPr>
          <w:p>
            <w:pPr>
              <w:spacing w:before="0" w:after="0" w:line="240" w:lineRule="auto"/>
              <w:jc w:val="center"/>
            </w:pPr>
            <w:r/>
            <w:r>
              <w:rPr>
                <w:rFonts w:ascii="Times New Roman" w:hAnsi="Times New Roman" w:eastAsia="宋体"/>
                <w:b w:val="0"/>
                <w:sz w:val="21"/>
              </w:rPr>
              <w:t>-1.41</w:t>
            </w:r>
          </w:p>
        </w:tc>
        <w:tc>
          <w:tcPr>
            <w:tcW w:type="dxa" w:w="1928"/>
            <w:vAlign w:val="center"/>
            <w:tcMar>
              <w:top w:w="60" w:type="dxa"/>
              <w:start w:w="80" w:type="dxa"/>
              <w:bottom w:w="60" w:type="dxa"/>
              <w:end w:w="80" w:type="dxa"/>
            </w:tcMar>
          </w:tcPr>
          <w:p>
            <w:pPr>
              <w:spacing w:before="0" w:after="0" w:line="240" w:lineRule="auto"/>
              <w:jc w:val="center"/>
            </w:pPr>
            <w:r/>
            <w:r>
              <w:rPr>
                <w:rFonts w:ascii="Times New Roman" w:hAnsi="Times New Roman" w:eastAsia="宋体"/>
                <w:b w:val="0"/>
                <w:sz w:val="21"/>
              </w:rPr>
              <w:t>-3.78</w:t>
            </w:r>
          </w:p>
        </w:tc>
      </w:tr>
      <w:tr>
        <w:trPr>
          <w:cantSplit/>
        </w:trPr>
        <w:tc>
          <w:tcPr>
            <w:tcW w:type="dxa" w:w="2835"/>
            <w:vAlign w:val="center"/>
            <w:tcMar>
              <w:top w:w="60" w:type="dxa"/>
              <w:start w:w="80" w:type="dxa"/>
              <w:bottom w:w="60" w:type="dxa"/>
              <w:end w:w="80" w:type="dxa"/>
            </w:tcMar>
          </w:tcPr>
          <w:p>
            <w:pPr>
              <w:spacing w:before="0" w:after="0" w:line="240" w:lineRule="auto"/>
              <w:jc w:val="center"/>
            </w:pPr>
            <w:r/>
            <w:r>
              <w:rPr>
                <w:rFonts w:ascii="Times New Roman" w:hAnsi="Times New Roman" w:eastAsia="宋体"/>
                <w:b w:val="0"/>
                <w:sz w:val="21"/>
              </w:rPr>
              <w:t>医学人文</w:t>
            </w:r>
          </w:p>
        </w:tc>
        <w:tc>
          <w:tcPr>
            <w:tcW w:type="dxa" w:w="1928"/>
            <w:vAlign w:val="center"/>
            <w:tcMar>
              <w:top w:w="60" w:type="dxa"/>
              <w:start w:w="80" w:type="dxa"/>
              <w:bottom w:w="60" w:type="dxa"/>
              <w:end w:w="80" w:type="dxa"/>
            </w:tcMar>
          </w:tcPr>
          <w:p>
            <w:pPr>
              <w:spacing w:before="0" w:after="0" w:line="240" w:lineRule="auto"/>
              <w:jc w:val="center"/>
            </w:pPr>
            <w:r/>
            <w:r>
              <w:rPr>
                <w:rFonts w:ascii="Times New Roman" w:hAnsi="Times New Roman" w:eastAsia="宋体"/>
                <w:b w:val="0"/>
                <w:sz w:val="21"/>
              </w:rPr>
              <w:t>-1.67</w:t>
            </w:r>
          </w:p>
        </w:tc>
        <w:tc>
          <w:tcPr>
            <w:tcW w:type="dxa" w:w="1928"/>
            <w:vAlign w:val="center"/>
            <w:tcMar>
              <w:top w:w="60" w:type="dxa"/>
              <w:start w:w="80" w:type="dxa"/>
              <w:bottom w:w="60" w:type="dxa"/>
              <w:end w:w="80" w:type="dxa"/>
            </w:tcMar>
          </w:tcPr>
          <w:p>
            <w:pPr>
              <w:spacing w:before="0" w:after="0" w:line="240" w:lineRule="auto"/>
              <w:jc w:val="center"/>
            </w:pPr>
            <w:r/>
            <w:r>
              <w:rPr>
                <w:rFonts w:ascii="Times New Roman" w:hAnsi="Times New Roman" w:eastAsia="宋体"/>
                <w:b w:val="0"/>
                <w:sz w:val="21"/>
              </w:rPr>
              <w:t>-2.17</w:t>
            </w:r>
          </w:p>
        </w:tc>
        <w:tc>
          <w:tcPr>
            <w:tcW w:type="dxa" w:w="1928"/>
            <w:vAlign w:val="center"/>
            <w:tcMar>
              <w:top w:w="60" w:type="dxa"/>
              <w:start w:w="80" w:type="dxa"/>
              <w:bottom w:w="60" w:type="dxa"/>
              <w:end w:w="80" w:type="dxa"/>
            </w:tcMar>
          </w:tcPr>
          <w:p>
            <w:pPr>
              <w:spacing w:before="0" w:after="0" w:line="240" w:lineRule="auto"/>
              <w:jc w:val="center"/>
            </w:pPr>
            <w:r/>
            <w:r>
              <w:rPr>
                <w:rFonts w:ascii="Times New Roman" w:hAnsi="Times New Roman" w:eastAsia="宋体"/>
                <w:b w:val="0"/>
                <w:sz w:val="21"/>
              </w:rPr>
              <w:t>-0.79</w:t>
            </w:r>
          </w:p>
        </w:tc>
      </w:tr>
      <w:tr>
        <w:trPr>
          <w:cantSplit/>
        </w:trPr>
        <w:tc>
          <w:tcPr>
            <w:tcW w:type="dxa" w:w="2835"/>
            <w:vAlign w:val="center"/>
            <w:tcMar>
              <w:top w:w="60" w:type="dxa"/>
              <w:start w:w="80" w:type="dxa"/>
              <w:bottom w:w="60" w:type="dxa"/>
              <w:end w:w="80" w:type="dxa"/>
            </w:tcMar>
          </w:tcPr>
          <w:p>
            <w:pPr>
              <w:spacing w:before="0" w:after="0" w:line="240" w:lineRule="auto"/>
              <w:jc w:val="center"/>
            </w:pPr>
            <w:r/>
            <w:r>
              <w:rPr>
                <w:rFonts w:ascii="Times New Roman" w:hAnsi="Times New Roman" w:eastAsia="宋体"/>
                <w:b w:val="0"/>
                <w:sz w:val="21"/>
              </w:rPr>
              <w:t>临床医学</w:t>
            </w:r>
          </w:p>
        </w:tc>
        <w:tc>
          <w:tcPr>
            <w:tcW w:type="dxa" w:w="1928"/>
            <w:vAlign w:val="center"/>
            <w:tcMar>
              <w:top w:w="60" w:type="dxa"/>
              <w:start w:w="80" w:type="dxa"/>
              <w:bottom w:w="60" w:type="dxa"/>
              <w:end w:w="80" w:type="dxa"/>
            </w:tcMar>
          </w:tcPr>
          <w:p>
            <w:pPr>
              <w:spacing w:before="0" w:after="0" w:line="240" w:lineRule="auto"/>
              <w:jc w:val="center"/>
            </w:pPr>
            <w:r/>
            <w:r>
              <w:rPr>
                <w:rFonts w:ascii="Times New Roman" w:hAnsi="Times New Roman" w:eastAsia="宋体"/>
                <w:b w:val="0"/>
                <w:sz w:val="21"/>
              </w:rPr>
              <w:t>-1.71</w:t>
            </w:r>
          </w:p>
        </w:tc>
        <w:tc>
          <w:tcPr>
            <w:tcW w:type="dxa" w:w="1928"/>
            <w:vAlign w:val="center"/>
            <w:tcMar>
              <w:top w:w="60" w:type="dxa"/>
              <w:start w:w="80" w:type="dxa"/>
              <w:bottom w:w="60" w:type="dxa"/>
              <w:end w:w="80" w:type="dxa"/>
            </w:tcMar>
          </w:tcPr>
          <w:p>
            <w:pPr>
              <w:spacing w:before="0" w:after="0" w:line="240" w:lineRule="auto"/>
              <w:jc w:val="center"/>
            </w:pPr>
            <w:r/>
            <w:r>
              <w:rPr>
                <w:rFonts w:ascii="Times New Roman" w:hAnsi="Times New Roman" w:eastAsia="宋体"/>
                <w:b w:val="0"/>
                <w:sz w:val="21"/>
              </w:rPr>
              <w:t>-1.59</w:t>
            </w:r>
          </w:p>
        </w:tc>
        <w:tc>
          <w:tcPr>
            <w:tcW w:type="dxa" w:w="1928"/>
            <w:vAlign w:val="center"/>
            <w:tcMar>
              <w:top w:w="60" w:type="dxa"/>
              <w:start w:w="80" w:type="dxa"/>
              <w:bottom w:w="60" w:type="dxa"/>
              <w:end w:w="80" w:type="dxa"/>
            </w:tcMar>
          </w:tcPr>
          <w:p>
            <w:pPr>
              <w:spacing w:before="0" w:after="0" w:line="240" w:lineRule="auto"/>
              <w:jc w:val="center"/>
            </w:pPr>
            <w:r/>
            <w:r>
              <w:rPr>
                <w:rFonts w:ascii="Times New Roman" w:hAnsi="Times New Roman" w:eastAsia="宋体"/>
                <w:b w:val="0"/>
                <w:sz w:val="21"/>
              </w:rPr>
              <w:t>-1.26</w:t>
            </w:r>
          </w:p>
        </w:tc>
      </w:tr>
      <w:tr>
        <w:trPr>
          <w:cantSplit/>
        </w:trPr>
        <w:tc>
          <w:tcPr>
            <w:tcW w:type="dxa" w:w="2835"/>
            <w:vAlign w:val="center"/>
            <w:tcMar>
              <w:top w:w="60" w:type="dxa"/>
              <w:start w:w="80" w:type="dxa"/>
              <w:bottom w:w="60" w:type="dxa"/>
              <w:end w:w="80" w:type="dxa"/>
            </w:tcMar>
          </w:tcPr>
          <w:p>
            <w:pPr>
              <w:spacing w:before="0" w:after="0" w:line="240" w:lineRule="auto"/>
              <w:jc w:val="center"/>
            </w:pPr>
            <w:r/>
            <w:r>
              <w:rPr>
                <w:rFonts w:ascii="Times New Roman" w:hAnsi="Times New Roman" w:eastAsia="宋体"/>
                <w:b w:val="0"/>
                <w:sz w:val="21"/>
              </w:rPr>
              <w:t>预防医学</w:t>
            </w:r>
          </w:p>
        </w:tc>
        <w:tc>
          <w:tcPr>
            <w:tcW w:type="dxa" w:w="1928"/>
            <w:vAlign w:val="center"/>
            <w:tcMar>
              <w:top w:w="60" w:type="dxa"/>
              <w:start w:w="80" w:type="dxa"/>
              <w:bottom w:w="60" w:type="dxa"/>
              <w:end w:w="80" w:type="dxa"/>
            </w:tcMar>
          </w:tcPr>
          <w:p>
            <w:pPr>
              <w:spacing w:before="0" w:after="0" w:line="240" w:lineRule="auto"/>
              <w:jc w:val="center"/>
            </w:pPr>
            <w:r/>
            <w:r>
              <w:rPr>
                <w:rFonts w:ascii="Times New Roman" w:hAnsi="Times New Roman" w:eastAsia="宋体"/>
                <w:b w:val="0"/>
                <w:sz w:val="21"/>
              </w:rPr>
              <w:t>-1.17</w:t>
            </w:r>
          </w:p>
        </w:tc>
        <w:tc>
          <w:tcPr>
            <w:tcW w:type="dxa" w:w="1928"/>
            <w:vAlign w:val="center"/>
            <w:tcMar>
              <w:top w:w="60" w:type="dxa"/>
              <w:start w:w="80" w:type="dxa"/>
              <w:bottom w:w="60" w:type="dxa"/>
              <w:end w:w="80" w:type="dxa"/>
            </w:tcMar>
          </w:tcPr>
          <w:p>
            <w:pPr>
              <w:spacing w:before="0" w:after="0" w:line="240" w:lineRule="auto"/>
              <w:jc w:val="center"/>
            </w:pPr>
            <w:r/>
            <w:r>
              <w:rPr>
                <w:rFonts w:ascii="Times New Roman" w:hAnsi="Times New Roman" w:eastAsia="宋体"/>
                <w:b w:val="0"/>
                <w:sz w:val="21"/>
              </w:rPr>
              <w:t>-2.34</w:t>
            </w:r>
          </w:p>
        </w:tc>
        <w:tc>
          <w:tcPr>
            <w:tcW w:type="dxa" w:w="1928"/>
            <w:vAlign w:val="center"/>
            <w:tcMar>
              <w:top w:w="60" w:type="dxa"/>
              <w:start w:w="80" w:type="dxa"/>
              <w:bottom w:w="60" w:type="dxa"/>
              <w:end w:w="80" w:type="dxa"/>
            </w:tcMar>
          </w:tcPr>
          <w:p>
            <w:pPr>
              <w:spacing w:before="0" w:after="0" w:line="240" w:lineRule="auto"/>
              <w:jc w:val="center"/>
            </w:pPr>
            <w:r/>
            <w:r>
              <w:rPr>
                <w:rFonts w:ascii="Times New Roman" w:hAnsi="Times New Roman" w:eastAsia="宋体"/>
                <w:b w:val="0"/>
                <w:sz w:val="21"/>
              </w:rPr>
              <w:t>-1.96</w:t>
            </w:r>
          </w:p>
        </w:tc>
      </w:tr>
    </w:tbl>
    <w:p>
      <w:pPr>
        <w:spacing w:after="0"/>
      </w:pPr>
    </w:p>
    <w:p>
      <w:pPr>
        <w:spacing w:before="0" w:after="80"/>
      </w:pPr>
      <w:r>
        <w:rPr>
          <w:rFonts w:ascii="Times New Roman" w:hAnsi="Times New Roman" w:eastAsia="宋体"/>
          <w:sz w:val="19"/>
        </w:rPr>
        <w:t>注：差值为本校掌握率减全国掌握率，单位为百分点。</w:t>
      </w:r>
    </w:p>
    <w:p>
      <w:pPr>
        <w:spacing w:lineRule="exact" w:line="560" w:before="0" w:after="0"/>
        <w:ind w:firstLine="640"/>
        <w:jc w:val="both"/>
      </w:pPr>
      <w:r>
        <w:rPr>
          <w:rFonts w:ascii="Times New Roman" w:hAnsi="Times New Roman" w:eastAsia="仿宋_GB2312"/>
          <w:b w:val="0"/>
          <w:sz w:val="32"/>
        </w:rPr>
        <w:t>2025年各模块记忆、理解和应用层次的掌握率均低于全国平均水平。基础医学应用层差距最大，为3.78个百分点，说明基础知识的情境化应用和综合分析训练需要重点加强；预防医学理解层低于全国2.34个百分点，应进一步强化基本概念、原理和方法的系统理解；医学人文理解层低于全国2.17个百分点，应提高伦理、心理和法律知识在临床情境中的综合运用水平。</w:t>
      </w:r>
    </w:p>
    <w:p>
      <w:pPr>
        <w:spacing w:lineRule="exact" w:line="560" w:before="0" w:after="0"/>
        <w:ind w:firstLine="640"/>
        <w:jc w:val="both"/>
      </w:pPr>
      <w:r>
        <w:rPr>
          <w:rFonts w:ascii="Times New Roman" w:hAnsi="Times New Roman" w:eastAsia="仿宋_GB2312"/>
          <w:b w:val="0"/>
          <w:sz w:val="32"/>
        </w:rPr>
        <w:t>学校应在课程考核中合理配置记忆、理解和应用三个层次的试题比例，增加病例型、情境型和综合应用型试题，通过阶段性测验、课程综合考核和临床能力评价持续检验学生知识迁移与问题解决能力。</w:t>
      </w:r>
    </w:p>
    <w:p>
      <w:pPr>
        <w:pStyle w:val="Heading1"/>
        <w:keepNext/>
        <w:spacing w:before="200" w:after="100" w:lineRule="exact" w:line="600"/>
        <w:jc w:val="left"/>
      </w:pPr>
      <w:r>
        <w:rPr>
          <w:rFonts w:ascii="Times New Roman" w:hAnsi="Times New Roman" w:eastAsia="黑体"/>
          <w:b/>
          <w:sz w:val="40"/>
        </w:rPr>
        <w:t>五、主要问题</w:t>
      </w:r>
    </w:p>
    <w:p>
      <w:pPr>
        <w:pStyle w:val="Heading2"/>
        <w:keepNext/>
        <w:spacing w:before="120" w:after="40" w:lineRule="exact" w:line="560"/>
        <w:jc w:val="left"/>
      </w:pPr>
      <w:r>
        <w:rPr>
          <w:rFonts w:ascii="Times New Roman" w:hAnsi="Times New Roman" w:eastAsia="黑体"/>
          <w:b/>
          <w:sz w:val="32"/>
        </w:rPr>
        <w:t>5.1 总体考试表现的稳定性需要提高</w:t>
      </w:r>
    </w:p>
    <w:p>
      <w:pPr>
        <w:spacing w:lineRule="exact" w:line="560" w:before="0" w:after="0"/>
        <w:ind w:firstLine="640"/>
        <w:jc w:val="both"/>
      </w:pPr>
      <w:r>
        <w:rPr>
          <w:rFonts w:ascii="Times New Roman" w:hAnsi="Times New Roman" w:eastAsia="仿宋_GB2312"/>
          <w:b w:val="0"/>
          <w:sz w:val="32"/>
        </w:rPr>
        <w:t>近三年本校总通过率均低于全国平均水平，2024年和2025年百分等级连续为D；医学综合考试通过率在2024年接近全国平均水平，2025年再次回落，平均分与全国差距扩大至9.03分。学校具备接近全国平均水平的基础，但稳定性和相对位次仍需提高。</w:t>
      </w:r>
    </w:p>
    <w:p>
      <w:pPr>
        <w:pStyle w:val="Heading2"/>
        <w:keepNext/>
        <w:spacing w:before="120" w:after="40" w:lineRule="exact" w:line="560"/>
        <w:jc w:val="left"/>
      </w:pPr>
      <w:r>
        <w:rPr>
          <w:rFonts w:ascii="Times New Roman" w:hAnsi="Times New Roman" w:eastAsia="黑体"/>
          <w:b/>
          <w:sz w:val="32"/>
        </w:rPr>
        <w:t>5.2 医学综合考试是主要改进环节</w:t>
      </w:r>
    </w:p>
    <w:p>
      <w:pPr>
        <w:spacing w:lineRule="exact" w:line="560" w:before="0" w:after="0"/>
        <w:ind w:firstLine="640"/>
        <w:jc w:val="both"/>
      </w:pPr>
      <w:r>
        <w:rPr>
          <w:rFonts w:ascii="Times New Roman" w:hAnsi="Times New Roman" w:eastAsia="仿宋_GB2312"/>
          <w:b w:val="0"/>
          <w:sz w:val="32"/>
        </w:rPr>
        <w:t>三届考生中，约三分之二的最终未通过发生在医学综合考试阶段。学校应将综合知识掌握、临床思维、诊断决策和跨学科整合能力作为下一阶段教学改革与学业支持的重点。</w:t>
      </w:r>
    </w:p>
    <w:p>
      <w:pPr>
        <w:pStyle w:val="Heading2"/>
        <w:keepNext/>
        <w:spacing w:before="120" w:after="40" w:lineRule="exact" w:line="560"/>
        <w:jc w:val="left"/>
      </w:pPr>
      <w:r>
        <w:rPr>
          <w:rFonts w:ascii="Times New Roman" w:hAnsi="Times New Roman" w:eastAsia="黑体"/>
          <w:b/>
          <w:sz w:val="32"/>
        </w:rPr>
        <w:t>5.3 基础医学和预防医学存在持续性薄弱环节</w:t>
      </w:r>
    </w:p>
    <w:p>
      <w:pPr>
        <w:spacing w:lineRule="exact" w:line="560" w:before="0" w:after="0"/>
        <w:ind w:firstLine="640"/>
        <w:jc w:val="both"/>
      </w:pPr>
      <w:r>
        <w:rPr>
          <w:rFonts w:ascii="Times New Roman" w:hAnsi="Times New Roman" w:eastAsia="仿宋_GB2312"/>
          <w:b w:val="0"/>
          <w:sz w:val="32"/>
        </w:rPr>
        <w:t>基础医学和预防医学模块连续三年低于全国平均水平。解剖学与全国差距连续扩大，医学免疫学在2025年出现明显下降，预防医学基本原理与方法差距扩大。基础医学应用层是2025年认知层次中差距最大的领域，说明基础知识与临床问题解决之间的衔接仍需加强。</w:t>
      </w:r>
    </w:p>
    <w:p>
      <w:pPr>
        <w:pStyle w:val="Heading2"/>
        <w:keepNext/>
        <w:spacing w:before="120" w:after="40" w:lineRule="exact" w:line="560"/>
        <w:jc w:val="left"/>
      </w:pPr>
      <w:r>
        <w:rPr>
          <w:rFonts w:ascii="Times New Roman" w:hAnsi="Times New Roman" w:eastAsia="黑体"/>
          <w:b/>
          <w:sz w:val="32"/>
        </w:rPr>
        <w:t>5.4 临床医学部分学科和知识点需要重点加强</w:t>
      </w:r>
    </w:p>
    <w:p>
      <w:pPr>
        <w:spacing w:lineRule="exact" w:line="560" w:before="0" w:after="0"/>
        <w:ind w:firstLine="640"/>
        <w:jc w:val="both"/>
      </w:pPr>
      <w:r>
        <w:rPr>
          <w:rFonts w:ascii="Times New Roman" w:hAnsi="Times New Roman" w:eastAsia="仿宋_GB2312"/>
          <w:b w:val="0"/>
          <w:sz w:val="32"/>
        </w:rPr>
        <w:t>2025年外科学、内科学、妇产科学和儿科学均低于全国平均水平，神经内科、骨科、肾脏内科、普通外科和神经外科等知识点差距相对较大。学校应根据课程目标、校内考核、学生反馈和临床教学实际，逐项分析教学内容、师资、实践机会和考核方式，明确改进重点。</w:t>
      </w:r>
    </w:p>
    <w:p>
      <w:pPr>
        <w:pStyle w:val="Heading2"/>
        <w:keepNext/>
        <w:spacing w:before="120" w:after="40" w:lineRule="exact" w:line="560"/>
        <w:jc w:val="left"/>
      </w:pPr>
      <w:r>
        <w:rPr>
          <w:rFonts w:ascii="Times New Roman" w:hAnsi="Times New Roman" w:eastAsia="黑体"/>
          <w:b/>
          <w:sz w:val="32"/>
        </w:rPr>
        <w:t>5.5 学业预警和毕业后支持需要进一步完善</w:t>
      </w:r>
    </w:p>
    <w:p>
      <w:pPr>
        <w:spacing w:lineRule="exact" w:line="560" w:before="0" w:after="0"/>
        <w:ind w:firstLine="640"/>
        <w:jc w:val="both"/>
      </w:pPr>
      <w:r>
        <w:rPr>
          <w:rFonts w:ascii="Times New Roman" w:hAnsi="Times New Roman" w:eastAsia="仿宋_GB2312"/>
          <w:b w:val="0"/>
          <w:sz w:val="32"/>
        </w:rPr>
        <w:t>2025年全日制应届本科考生医学综合考试最低分为100分，存在需要重点关注的个案。学校应完善分数段统计，重点关注300分以下、300—329分和330—359分考生，结合课程不及格、补考、实习表现和阶段性综合测试结果，提前识别学习困难学生并开展针对性指导。</w:t>
      </w:r>
    </w:p>
    <w:p>
      <w:pPr>
        <w:spacing w:lineRule="exact" w:line="560" w:before="0" w:after="0"/>
        <w:ind w:firstLine="640"/>
        <w:jc w:val="both"/>
      </w:pPr>
      <w:r>
        <w:rPr>
          <w:rFonts w:ascii="Times New Roman" w:hAnsi="Times New Roman" w:eastAsia="仿宋_GB2312"/>
          <w:b w:val="0"/>
          <w:sz w:val="32"/>
        </w:rPr>
        <w:t>2023—2025年非应届考生医学综合考试通过率分别为38.98%、50.20%和45.95%。非应届考生数据应单独分析，学校应完善毕业生联系、政策咨询、学习资源和备考指导服务。</w:t>
      </w:r>
    </w:p>
    <w:p>
      <w:pPr>
        <w:pStyle w:val="Heading1"/>
        <w:keepNext/>
        <w:spacing w:before="200" w:after="100" w:lineRule="exact" w:line="600"/>
        <w:jc w:val="left"/>
      </w:pPr>
      <w:r>
        <w:rPr>
          <w:rFonts w:ascii="Times New Roman" w:hAnsi="Times New Roman" w:eastAsia="黑体"/>
          <w:b/>
          <w:sz w:val="40"/>
        </w:rPr>
        <w:t>六、与《中国本科医学教育标准——临床医学专业（2022版）》相关要求的对照分析</w:t>
      </w:r>
    </w:p>
    <w:p>
      <w:pPr>
        <w:spacing w:lineRule="exact" w:line="560" w:before="0" w:after="0"/>
        <w:ind w:firstLine="640"/>
        <w:jc w:val="both"/>
      </w:pPr>
      <w:r>
        <w:rPr>
          <w:rFonts w:ascii="Times New Roman" w:hAnsi="Times New Roman" w:eastAsia="仿宋_GB2312"/>
          <w:b w:val="0"/>
          <w:sz w:val="32"/>
        </w:rPr>
        <w:t>医师资格考试成绩是评价人才培养结果的重要外部指标。本节依据考试结果梳理相关标准领域的重点工作，正式认证结论由认证程序依据人才培养全过程材料综合形成。</w:t>
      </w:r>
    </w:p>
    <w:p>
      <w:pPr>
        <w:spacing w:before="120" w:after="80"/>
        <w:jc w:val="center"/>
      </w:pPr>
      <w:r>
        <w:rPr>
          <w:rFonts w:ascii="Times New Roman" w:hAnsi="Times New Roman" w:eastAsia="宋体"/>
          <w:b/>
          <w:sz w:val="24"/>
        </w:rPr>
        <w:t>表11  相关标准领域的重点工作</w:t>
      </w:r>
    </w:p>
    <w:tbl>
      <w:tblPr>
        <w:tblStyle w:val="TableGrid"/>
        <w:tblW w:type="dxa" w:w="9072"/>
        <w:jc w:val="center"/>
        <w:tblLayout w:type="autofit"/>
        <w:tblLook w:firstColumn="1" w:firstRow="1" w:lastColumn="0" w:lastRow="0" w:noHBand="0" w:noVBand="1" w:val="04A0"/>
      </w:tblPr>
      <w:tblGrid>
        <w:gridCol w:w="2948"/>
        <w:gridCol w:w="2948"/>
        <w:gridCol w:w="2948"/>
      </w:tblGrid>
      <w:tr>
        <w:trPr>
          <w:tblHeader w:val="true"/>
          <w:cantSplit/>
        </w:trPr>
        <w:tc>
          <w:tcPr>
            <w:tcW w:type="dxa" w:w="1417"/>
            <w:vAlign w:val="center"/>
            <w:shd w:fill="D9E2F3"/>
            <w:tcMar>
              <w:top w:w="60" w:type="dxa"/>
              <w:start w:w="80" w:type="dxa"/>
              <w:bottom w:w="60" w:type="dxa"/>
              <w:end w:w="80" w:type="dxa"/>
            </w:tcMar>
          </w:tcPr>
          <w:p>
            <w:pPr>
              <w:spacing w:before="0" w:after="0" w:line="240" w:lineRule="auto"/>
              <w:jc w:val="center"/>
            </w:pPr>
            <w:r/>
            <w:r>
              <w:rPr>
                <w:rFonts w:ascii="Times New Roman" w:hAnsi="Times New Roman" w:eastAsia="宋体"/>
                <w:b/>
                <w:sz w:val="18"/>
              </w:rPr>
              <w:t>标准领域</w:t>
            </w:r>
          </w:p>
        </w:tc>
        <w:tc>
          <w:tcPr>
            <w:tcW w:type="dxa" w:w="3061"/>
            <w:vAlign w:val="center"/>
            <w:shd w:fill="D9E2F3"/>
            <w:tcMar>
              <w:top w:w="60" w:type="dxa"/>
              <w:start w:w="80" w:type="dxa"/>
              <w:bottom w:w="60" w:type="dxa"/>
              <w:end w:w="80" w:type="dxa"/>
            </w:tcMar>
          </w:tcPr>
          <w:p>
            <w:pPr>
              <w:spacing w:before="0" w:after="0" w:line="240" w:lineRule="auto"/>
              <w:jc w:val="center"/>
            </w:pPr>
            <w:r/>
            <w:r>
              <w:rPr>
                <w:rFonts w:ascii="Times New Roman" w:hAnsi="Times New Roman" w:eastAsia="宋体"/>
                <w:b/>
                <w:sz w:val="18"/>
              </w:rPr>
              <w:t>考试结果反映的重点</w:t>
            </w:r>
          </w:p>
        </w:tc>
        <w:tc>
          <w:tcPr>
            <w:tcW w:type="dxa" w:w="4025"/>
            <w:vAlign w:val="center"/>
            <w:shd w:fill="D9E2F3"/>
            <w:tcMar>
              <w:top w:w="60" w:type="dxa"/>
              <w:start w:w="80" w:type="dxa"/>
              <w:bottom w:w="60" w:type="dxa"/>
              <w:end w:w="80" w:type="dxa"/>
            </w:tcMar>
          </w:tcPr>
          <w:p>
            <w:pPr>
              <w:spacing w:before="0" w:after="0" w:line="240" w:lineRule="auto"/>
              <w:jc w:val="center"/>
            </w:pPr>
            <w:r/>
            <w:r>
              <w:rPr>
                <w:rFonts w:ascii="Times New Roman" w:hAnsi="Times New Roman" w:eastAsia="宋体"/>
                <w:b/>
                <w:sz w:val="18"/>
              </w:rPr>
              <w:t>下一阶段重点工作</w:t>
            </w:r>
          </w:p>
        </w:tc>
      </w:tr>
      <w:tr>
        <w:trPr>
          <w:cantSplit/>
        </w:trPr>
        <w:tc>
          <w:tcPr>
            <w:tcW w:type="dxa" w:w="1417"/>
            <w:vAlign w:val="center"/>
            <w:tcMar>
              <w:top w:w="60" w:type="dxa"/>
              <w:start w:w="80" w:type="dxa"/>
              <w:bottom w:w="60" w:type="dxa"/>
              <w:end w:w="80" w:type="dxa"/>
            </w:tcMar>
          </w:tcPr>
          <w:p>
            <w:pPr>
              <w:spacing w:before="0" w:after="0" w:line="240" w:lineRule="auto"/>
              <w:jc w:val="left"/>
            </w:pPr>
            <w:r/>
            <w:r>
              <w:rPr>
                <w:rFonts w:ascii="Times New Roman" w:hAnsi="Times New Roman" w:eastAsia="宋体"/>
                <w:b w:val="0"/>
                <w:sz w:val="18"/>
              </w:rPr>
              <w:t>课程计划</w:t>
            </w:r>
          </w:p>
        </w:tc>
        <w:tc>
          <w:tcPr>
            <w:tcW w:type="dxa" w:w="3061"/>
            <w:vAlign w:val="center"/>
            <w:tcMar>
              <w:top w:w="60" w:type="dxa"/>
              <w:start w:w="80" w:type="dxa"/>
              <w:bottom w:w="60" w:type="dxa"/>
              <w:end w:w="80" w:type="dxa"/>
            </w:tcMar>
          </w:tcPr>
          <w:p>
            <w:pPr>
              <w:spacing w:before="0" w:after="0" w:line="240" w:lineRule="auto"/>
              <w:jc w:val="center"/>
            </w:pPr>
            <w:r/>
            <w:r>
              <w:rPr>
                <w:rFonts w:ascii="Times New Roman" w:hAnsi="Times New Roman" w:eastAsia="宋体"/>
                <w:b w:val="0"/>
                <w:sz w:val="18"/>
              </w:rPr>
              <w:t>基础医学、预防医学连续低于全国，部分临床知识点差距扩大</w:t>
            </w:r>
          </w:p>
        </w:tc>
        <w:tc>
          <w:tcPr>
            <w:tcW w:type="dxa" w:w="4025"/>
            <w:vAlign w:val="center"/>
            <w:tcMar>
              <w:top w:w="60" w:type="dxa"/>
              <w:start w:w="80" w:type="dxa"/>
              <w:bottom w:w="60" w:type="dxa"/>
              <w:end w:w="80" w:type="dxa"/>
            </w:tcMar>
          </w:tcPr>
          <w:p>
            <w:pPr>
              <w:spacing w:before="0" w:after="0" w:line="240" w:lineRule="auto"/>
              <w:jc w:val="center"/>
            </w:pPr>
            <w:r/>
            <w:r>
              <w:rPr>
                <w:rFonts w:ascii="Times New Roman" w:hAnsi="Times New Roman" w:eastAsia="宋体"/>
                <w:b w:val="0"/>
                <w:sz w:val="18"/>
              </w:rPr>
              <w:t>完善培养目标、毕业要求、课程目标、教学内容和考核要求之间的对应关系，加强基础、临床、预防和人文课程整合</w:t>
            </w:r>
          </w:p>
        </w:tc>
      </w:tr>
      <w:tr>
        <w:trPr>
          <w:cantSplit/>
        </w:trPr>
        <w:tc>
          <w:tcPr>
            <w:tcW w:type="dxa" w:w="1417"/>
            <w:vAlign w:val="center"/>
            <w:tcMar>
              <w:top w:w="60" w:type="dxa"/>
              <w:start w:w="80" w:type="dxa"/>
              <w:bottom w:w="60" w:type="dxa"/>
              <w:end w:w="80" w:type="dxa"/>
            </w:tcMar>
          </w:tcPr>
          <w:p>
            <w:pPr>
              <w:spacing w:before="0" w:after="0" w:line="240" w:lineRule="auto"/>
              <w:jc w:val="left"/>
            </w:pPr>
            <w:r/>
            <w:r>
              <w:rPr>
                <w:rFonts w:ascii="Times New Roman" w:hAnsi="Times New Roman" w:eastAsia="宋体"/>
                <w:b w:val="0"/>
                <w:sz w:val="18"/>
              </w:rPr>
              <w:t>学业考核与评价</w:t>
            </w:r>
          </w:p>
        </w:tc>
        <w:tc>
          <w:tcPr>
            <w:tcW w:type="dxa" w:w="3061"/>
            <w:vAlign w:val="center"/>
            <w:tcMar>
              <w:top w:w="60" w:type="dxa"/>
              <w:start w:w="80" w:type="dxa"/>
              <w:bottom w:w="60" w:type="dxa"/>
              <w:end w:w="80" w:type="dxa"/>
            </w:tcMar>
          </w:tcPr>
          <w:p>
            <w:pPr>
              <w:spacing w:before="0" w:after="0" w:line="240" w:lineRule="auto"/>
              <w:jc w:val="center"/>
            </w:pPr>
            <w:r/>
            <w:r>
              <w:rPr>
                <w:rFonts w:ascii="Times New Roman" w:hAnsi="Times New Roman" w:eastAsia="宋体"/>
                <w:b w:val="0"/>
                <w:sz w:val="18"/>
              </w:rPr>
              <w:t>医学综合考试年度表现波动，基础医学应用层差距较大</w:t>
            </w:r>
          </w:p>
        </w:tc>
        <w:tc>
          <w:tcPr>
            <w:tcW w:type="dxa" w:w="4025"/>
            <w:vAlign w:val="center"/>
            <w:tcMar>
              <w:top w:w="60" w:type="dxa"/>
              <w:start w:w="80" w:type="dxa"/>
              <w:bottom w:w="60" w:type="dxa"/>
              <w:end w:w="80" w:type="dxa"/>
            </w:tcMar>
          </w:tcPr>
          <w:p>
            <w:pPr>
              <w:spacing w:before="0" w:after="0" w:line="240" w:lineRule="auto"/>
              <w:jc w:val="center"/>
            </w:pPr>
            <w:r/>
            <w:r>
              <w:rPr>
                <w:rFonts w:ascii="Times New Roman" w:hAnsi="Times New Roman" w:eastAsia="宋体"/>
                <w:b w:val="0"/>
                <w:sz w:val="18"/>
              </w:rPr>
              <w:t>完善形成性评价、终结性评价和临床能力评价，增加病例型、情境型和综合应用型考核</w:t>
            </w:r>
          </w:p>
        </w:tc>
      </w:tr>
      <w:tr>
        <w:trPr>
          <w:cantSplit/>
        </w:trPr>
        <w:tc>
          <w:tcPr>
            <w:tcW w:type="dxa" w:w="1417"/>
            <w:vAlign w:val="center"/>
            <w:tcMar>
              <w:top w:w="60" w:type="dxa"/>
              <w:start w:w="80" w:type="dxa"/>
              <w:bottom w:w="60" w:type="dxa"/>
              <w:end w:w="80" w:type="dxa"/>
            </w:tcMar>
          </w:tcPr>
          <w:p>
            <w:pPr>
              <w:spacing w:before="0" w:after="0" w:line="240" w:lineRule="auto"/>
              <w:jc w:val="left"/>
            </w:pPr>
            <w:r/>
            <w:r>
              <w:rPr>
                <w:rFonts w:ascii="Times New Roman" w:hAnsi="Times New Roman" w:eastAsia="宋体"/>
                <w:b w:val="0"/>
                <w:sz w:val="18"/>
              </w:rPr>
              <w:t>学生</w:t>
            </w:r>
          </w:p>
        </w:tc>
        <w:tc>
          <w:tcPr>
            <w:tcW w:type="dxa" w:w="3061"/>
            <w:vAlign w:val="center"/>
            <w:tcMar>
              <w:top w:w="60" w:type="dxa"/>
              <w:start w:w="80" w:type="dxa"/>
              <w:bottom w:w="60" w:type="dxa"/>
              <w:end w:w="80" w:type="dxa"/>
            </w:tcMar>
          </w:tcPr>
          <w:p>
            <w:pPr>
              <w:spacing w:before="0" w:after="0" w:line="240" w:lineRule="auto"/>
              <w:jc w:val="center"/>
            </w:pPr>
            <w:r/>
            <w:r>
              <w:rPr>
                <w:rFonts w:ascii="Times New Roman" w:hAnsi="Times New Roman" w:eastAsia="宋体"/>
                <w:b w:val="0"/>
                <w:sz w:val="18"/>
              </w:rPr>
              <w:t>存在低分个案，非应届考生通过率相对较低</w:t>
            </w:r>
          </w:p>
        </w:tc>
        <w:tc>
          <w:tcPr>
            <w:tcW w:type="dxa" w:w="4025"/>
            <w:vAlign w:val="center"/>
            <w:tcMar>
              <w:top w:w="60" w:type="dxa"/>
              <w:start w:w="80" w:type="dxa"/>
              <w:bottom w:w="60" w:type="dxa"/>
              <w:end w:w="80" w:type="dxa"/>
            </w:tcMar>
          </w:tcPr>
          <w:p>
            <w:pPr>
              <w:spacing w:before="0" w:after="0" w:line="240" w:lineRule="auto"/>
              <w:jc w:val="center"/>
            </w:pPr>
            <w:r/>
            <w:r>
              <w:rPr>
                <w:rFonts w:ascii="Times New Roman" w:hAnsi="Times New Roman" w:eastAsia="宋体"/>
                <w:b w:val="0"/>
                <w:sz w:val="18"/>
              </w:rPr>
              <w:t>健全早期预警、分类指导、心理与学习咨询以及毕业后支持机制</w:t>
            </w:r>
          </w:p>
        </w:tc>
      </w:tr>
      <w:tr>
        <w:trPr>
          <w:cantSplit/>
        </w:trPr>
        <w:tc>
          <w:tcPr>
            <w:tcW w:type="dxa" w:w="1417"/>
            <w:vAlign w:val="center"/>
            <w:tcMar>
              <w:top w:w="60" w:type="dxa"/>
              <w:start w:w="80" w:type="dxa"/>
              <w:bottom w:w="60" w:type="dxa"/>
              <w:end w:w="80" w:type="dxa"/>
            </w:tcMar>
          </w:tcPr>
          <w:p>
            <w:pPr>
              <w:spacing w:before="0" w:after="0" w:line="240" w:lineRule="auto"/>
              <w:jc w:val="left"/>
            </w:pPr>
            <w:r/>
            <w:r>
              <w:rPr>
                <w:rFonts w:ascii="Times New Roman" w:hAnsi="Times New Roman" w:eastAsia="宋体"/>
                <w:b w:val="0"/>
                <w:sz w:val="18"/>
              </w:rPr>
              <w:t>教师</w:t>
            </w:r>
          </w:p>
        </w:tc>
        <w:tc>
          <w:tcPr>
            <w:tcW w:type="dxa" w:w="3061"/>
            <w:vAlign w:val="center"/>
            <w:tcMar>
              <w:top w:w="60" w:type="dxa"/>
              <w:start w:w="80" w:type="dxa"/>
              <w:bottom w:w="60" w:type="dxa"/>
              <w:end w:w="80" w:type="dxa"/>
            </w:tcMar>
          </w:tcPr>
          <w:p>
            <w:pPr>
              <w:spacing w:before="0" w:after="0" w:line="240" w:lineRule="auto"/>
              <w:jc w:val="center"/>
            </w:pPr>
            <w:r/>
            <w:r>
              <w:rPr>
                <w:rFonts w:ascii="Times New Roman" w:hAnsi="Times New Roman" w:eastAsia="宋体"/>
                <w:b w:val="0"/>
                <w:sz w:val="18"/>
              </w:rPr>
              <w:t>薄弱学科和基础临床协同教学需要加强</w:t>
            </w:r>
          </w:p>
        </w:tc>
        <w:tc>
          <w:tcPr>
            <w:tcW w:type="dxa" w:w="4025"/>
            <w:vAlign w:val="center"/>
            <w:tcMar>
              <w:top w:w="60" w:type="dxa"/>
              <w:start w:w="80" w:type="dxa"/>
              <w:bottom w:w="60" w:type="dxa"/>
              <w:end w:w="80" w:type="dxa"/>
            </w:tcMar>
          </w:tcPr>
          <w:p>
            <w:pPr>
              <w:spacing w:before="0" w:after="0" w:line="240" w:lineRule="auto"/>
              <w:jc w:val="center"/>
            </w:pPr>
            <w:r/>
            <w:r>
              <w:rPr>
                <w:rFonts w:ascii="Times New Roman" w:hAnsi="Times New Roman" w:eastAsia="宋体"/>
                <w:b w:val="0"/>
                <w:sz w:val="18"/>
              </w:rPr>
              <w:t>优化师资结构，推进联合备课、协同授课和医学教育能力培训</w:t>
            </w:r>
          </w:p>
        </w:tc>
      </w:tr>
      <w:tr>
        <w:trPr>
          <w:cantSplit/>
        </w:trPr>
        <w:tc>
          <w:tcPr>
            <w:tcW w:type="dxa" w:w="1417"/>
            <w:vAlign w:val="center"/>
            <w:tcMar>
              <w:top w:w="60" w:type="dxa"/>
              <w:start w:w="80" w:type="dxa"/>
              <w:bottom w:w="60" w:type="dxa"/>
              <w:end w:w="80" w:type="dxa"/>
            </w:tcMar>
          </w:tcPr>
          <w:p>
            <w:pPr>
              <w:spacing w:before="0" w:after="0" w:line="240" w:lineRule="auto"/>
              <w:jc w:val="left"/>
            </w:pPr>
            <w:r/>
            <w:r>
              <w:rPr>
                <w:rFonts w:ascii="Times New Roman" w:hAnsi="Times New Roman" w:eastAsia="宋体"/>
                <w:b w:val="0"/>
                <w:sz w:val="18"/>
              </w:rPr>
              <w:t>教育资源</w:t>
            </w:r>
          </w:p>
        </w:tc>
        <w:tc>
          <w:tcPr>
            <w:tcW w:type="dxa" w:w="3061"/>
            <w:vAlign w:val="center"/>
            <w:tcMar>
              <w:top w:w="60" w:type="dxa"/>
              <w:start w:w="80" w:type="dxa"/>
              <w:bottom w:w="60" w:type="dxa"/>
              <w:end w:w="80" w:type="dxa"/>
            </w:tcMar>
          </w:tcPr>
          <w:p>
            <w:pPr>
              <w:spacing w:before="0" w:after="0" w:line="240" w:lineRule="auto"/>
              <w:jc w:val="center"/>
            </w:pPr>
            <w:r/>
            <w:r>
              <w:rPr>
                <w:rFonts w:ascii="Times New Roman" w:hAnsi="Times New Roman" w:eastAsia="宋体"/>
                <w:b w:val="0"/>
                <w:sz w:val="18"/>
              </w:rPr>
              <w:t>实践技能通过率连续两年百分等级为D</w:t>
            </w:r>
          </w:p>
        </w:tc>
        <w:tc>
          <w:tcPr>
            <w:tcW w:type="dxa" w:w="4025"/>
            <w:vAlign w:val="center"/>
            <w:tcMar>
              <w:top w:w="60" w:type="dxa"/>
              <w:start w:w="80" w:type="dxa"/>
              <w:bottom w:w="60" w:type="dxa"/>
              <w:end w:w="80" w:type="dxa"/>
            </w:tcMar>
          </w:tcPr>
          <w:p>
            <w:pPr>
              <w:spacing w:before="0" w:after="0" w:line="240" w:lineRule="auto"/>
              <w:jc w:val="center"/>
            </w:pPr>
            <w:r/>
            <w:r>
              <w:rPr>
                <w:rFonts w:ascii="Times New Roman" w:hAnsi="Times New Roman" w:eastAsia="宋体"/>
                <w:b w:val="0"/>
                <w:sz w:val="18"/>
              </w:rPr>
              <w:t>提高技能中心、模拟教学和临床教学基地资源的开放程度与使用效益</w:t>
            </w:r>
          </w:p>
        </w:tc>
      </w:tr>
      <w:tr>
        <w:trPr>
          <w:cantSplit/>
        </w:trPr>
        <w:tc>
          <w:tcPr>
            <w:tcW w:type="dxa" w:w="1417"/>
            <w:vAlign w:val="center"/>
            <w:tcMar>
              <w:top w:w="60" w:type="dxa"/>
              <w:start w:w="80" w:type="dxa"/>
              <w:bottom w:w="60" w:type="dxa"/>
              <w:end w:w="80" w:type="dxa"/>
            </w:tcMar>
          </w:tcPr>
          <w:p>
            <w:pPr>
              <w:spacing w:before="0" w:after="0" w:line="240" w:lineRule="auto"/>
              <w:jc w:val="left"/>
            </w:pPr>
            <w:r/>
            <w:r>
              <w:rPr>
                <w:rFonts w:ascii="Times New Roman" w:hAnsi="Times New Roman" w:eastAsia="宋体"/>
                <w:b w:val="0"/>
                <w:sz w:val="18"/>
              </w:rPr>
              <w:t>教育评价</w:t>
            </w:r>
          </w:p>
        </w:tc>
        <w:tc>
          <w:tcPr>
            <w:tcW w:type="dxa" w:w="3061"/>
            <w:vAlign w:val="center"/>
            <w:tcMar>
              <w:top w:w="60" w:type="dxa"/>
              <w:start w:w="80" w:type="dxa"/>
              <w:bottom w:w="60" w:type="dxa"/>
              <w:end w:w="80" w:type="dxa"/>
            </w:tcMar>
          </w:tcPr>
          <w:p>
            <w:pPr>
              <w:spacing w:before="0" w:after="0" w:line="240" w:lineRule="auto"/>
              <w:jc w:val="center"/>
            </w:pPr>
            <w:r/>
            <w:r>
              <w:rPr>
                <w:rFonts w:ascii="Times New Roman" w:hAnsi="Times New Roman" w:eastAsia="宋体"/>
                <w:b w:val="0"/>
                <w:sz w:val="18"/>
              </w:rPr>
              <w:t>年度成绩分析向改进措施转化仍需加强</w:t>
            </w:r>
          </w:p>
        </w:tc>
        <w:tc>
          <w:tcPr>
            <w:tcW w:type="dxa" w:w="4025"/>
            <w:vAlign w:val="center"/>
            <w:tcMar>
              <w:top w:w="60" w:type="dxa"/>
              <w:start w:w="80" w:type="dxa"/>
              <w:bottom w:w="60" w:type="dxa"/>
              <w:end w:w="80" w:type="dxa"/>
            </w:tcMar>
          </w:tcPr>
          <w:p>
            <w:pPr>
              <w:spacing w:before="0" w:after="0" w:line="240" w:lineRule="auto"/>
              <w:jc w:val="center"/>
            </w:pPr>
            <w:r/>
            <w:r>
              <w:rPr>
                <w:rFonts w:ascii="Times New Roman" w:hAnsi="Times New Roman" w:eastAsia="宋体"/>
                <w:b w:val="0"/>
                <w:sz w:val="18"/>
              </w:rPr>
              <w:t>明确责任部门、改进目标、完成时限、过程指标和效果评价，形成持续改进机制</w:t>
            </w:r>
          </w:p>
        </w:tc>
      </w:tr>
    </w:tbl>
    <w:p>
      <w:pPr>
        <w:spacing w:after="0"/>
      </w:pPr>
    </w:p>
    <w:p>
      <w:pPr>
        <w:spacing w:lineRule="exact" w:line="560" w:before="0" w:after="0"/>
        <w:ind w:firstLine="640"/>
        <w:jc w:val="both"/>
      </w:pPr>
      <w:r>
        <w:rPr>
          <w:rFonts w:ascii="Times New Roman" w:hAnsi="Times New Roman" w:eastAsia="仿宋_GB2312"/>
          <w:b w:val="0"/>
          <w:sz w:val="32"/>
        </w:rPr>
        <w:t>课程计划方面，应围绕毕业要求，系统梳理基础医学、临床医学、预防医学、医学人文和中医学基础课程的知识、能力和职业素养要求，重点加强基础与临床、临床与预防、专业教育与人文教育的衔接。</w:t>
      </w:r>
    </w:p>
    <w:p>
      <w:pPr>
        <w:spacing w:lineRule="exact" w:line="560" w:before="0" w:after="0"/>
        <w:ind w:firstLine="640"/>
        <w:jc w:val="both"/>
      </w:pPr>
      <w:r>
        <w:rPr>
          <w:rFonts w:ascii="Times New Roman" w:hAnsi="Times New Roman" w:eastAsia="仿宋_GB2312"/>
          <w:b w:val="0"/>
          <w:sz w:val="32"/>
        </w:rPr>
        <w:t>学业考核与评价方面，应建立课程考核、阶段性综合测试、OSCE、Mini-CEX、DOPS、病例讨论和临床推理评价相结合的多元评价体系，强化形成性反馈和综合应用能力考查。</w:t>
      </w:r>
    </w:p>
    <w:p>
      <w:pPr>
        <w:spacing w:lineRule="exact" w:line="560" w:before="0" w:after="0"/>
        <w:ind w:firstLine="640"/>
        <w:jc w:val="both"/>
      </w:pPr>
      <w:r>
        <w:rPr>
          <w:rFonts w:ascii="Times New Roman" w:hAnsi="Times New Roman" w:eastAsia="仿宋_GB2312"/>
          <w:b w:val="0"/>
          <w:sz w:val="32"/>
        </w:rPr>
        <w:t>教师与教育资源方面，应加强基础医学教师和临床教师协作，完善临床教学基地统一标准、教师培训、学生评价和年度质量评估，提高临床技能中心、附属医院和教学医院对本科教学的支持能力。</w:t>
      </w:r>
    </w:p>
    <w:p>
      <w:pPr>
        <w:spacing w:lineRule="exact" w:line="560" w:before="0" w:after="0"/>
        <w:ind w:firstLine="640"/>
        <w:jc w:val="both"/>
      </w:pPr>
      <w:r>
        <w:rPr>
          <w:rFonts w:ascii="Times New Roman" w:hAnsi="Times New Roman" w:eastAsia="仿宋_GB2312"/>
          <w:b w:val="0"/>
          <w:sz w:val="32"/>
        </w:rPr>
        <w:t>教育评价方面，应将国家医师资格考试结果与校内课程评价、毕业要求达成评价、临床能力评价和毕业生发展情况统筹分析，按年度研究改进措施并评价实施效果。</w:t>
      </w:r>
    </w:p>
    <w:p>
      <w:pPr>
        <w:pStyle w:val="Heading1"/>
        <w:keepNext/>
        <w:spacing w:before="200" w:after="100" w:lineRule="exact" w:line="600"/>
        <w:jc w:val="left"/>
      </w:pPr>
      <w:r>
        <w:rPr>
          <w:rFonts w:ascii="Times New Roman" w:hAnsi="Times New Roman" w:eastAsia="黑体"/>
          <w:b/>
          <w:sz w:val="40"/>
        </w:rPr>
        <w:t>七、整改建议</w:t>
      </w:r>
    </w:p>
    <w:p>
      <w:pPr>
        <w:pStyle w:val="Heading2"/>
        <w:keepNext/>
        <w:spacing w:before="120" w:after="40" w:lineRule="exact" w:line="560"/>
        <w:jc w:val="left"/>
      </w:pPr>
      <w:r>
        <w:rPr>
          <w:rFonts w:ascii="Times New Roman" w:hAnsi="Times New Roman" w:eastAsia="黑体"/>
          <w:b/>
          <w:sz w:val="32"/>
        </w:rPr>
        <w:t>（一）完善医师资格考试分析与持续改进机制</w:t>
      </w:r>
    </w:p>
    <w:p>
      <w:pPr>
        <w:spacing w:lineRule="exact" w:line="560" w:before="40" w:after="0"/>
        <w:ind w:firstLine="0" w:left="0"/>
        <w:jc w:val="both"/>
      </w:pPr>
      <w:r>
        <w:rPr>
          <w:rFonts w:ascii="Times New Roman" w:hAnsi="Times New Roman" w:eastAsia="仿宋_GB2312"/>
          <w:b/>
          <w:sz w:val="32"/>
        </w:rPr>
        <w:t>1. 健全校级协调机制。</w:t>
      </w:r>
      <w:r>
        <w:rPr>
          <w:rFonts w:ascii="Times New Roman" w:hAnsi="Times New Roman" w:eastAsia="仿宋_GB2312"/>
          <w:sz w:val="32"/>
        </w:rPr>
        <w:t>由医学部牵头，教务处、教学质量监控与评估处、基础医学院、临床医学院、附属医院和相关教学单位共同参与，统一数据口径，明确职责分工，制定年度工作安排，将考试分析纳入临床医学专业建设和人才培养质量评价。</w:t>
      </w:r>
      <w:r>
        <w:rPr>
          <w:rFonts w:ascii="Times New Roman" w:hAnsi="Times New Roman" w:eastAsia="楷体_GB2312"/>
          <w:sz w:val="30"/>
        </w:rPr>
        <w:t>（牵头部门：医学部）</w:t>
      </w:r>
    </w:p>
    <w:p>
      <w:pPr>
        <w:spacing w:lineRule="exact" w:line="560" w:before="40" w:after="0"/>
        <w:ind w:firstLine="0" w:left="0"/>
        <w:jc w:val="both"/>
      </w:pPr>
      <w:r>
        <w:rPr>
          <w:rFonts w:ascii="Times New Roman" w:hAnsi="Times New Roman" w:eastAsia="仿宋_GB2312"/>
          <w:b/>
          <w:sz w:val="32"/>
        </w:rPr>
        <w:t>2. 完善年度成绩分析。</w:t>
      </w:r>
      <w:r>
        <w:rPr>
          <w:rFonts w:ascii="Times New Roman" w:hAnsi="Times New Roman" w:eastAsia="仿宋_GB2312"/>
          <w:sz w:val="32"/>
        </w:rPr>
        <w:t>每年从实践技能和医学综合考试通过率、平均分、分数段、模块、专业知识点、考核要点和认知层次等方面开展分析；持续性薄弱环节与年度异常变化分别研究。分析工作同步参考课程考核、试题质量、师资与教学基地情况、学生和教师反馈，形成年度专题报告。</w:t>
      </w:r>
      <w:r>
        <w:rPr>
          <w:rFonts w:ascii="Times New Roman" w:hAnsi="Times New Roman" w:eastAsia="楷体_GB2312"/>
          <w:sz w:val="30"/>
        </w:rPr>
        <w:t>（牵头部门：教学质量监控与评估处、医学部）</w:t>
      </w:r>
    </w:p>
    <w:p>
      <w:pPr>
        <w:spacing w:lineRule="exact" w:line="560" w:before="40" w:after="0"/>
        <w:ind w:firstLine="0" w:left="0"/>
        <w:jc w:val="both"/>
      </w:pPr>
      <w:r>
        <w:rPr>
          <w:rFonts w:ascii="Times New Roman" w:hAnsi="Times New Roman" w:eastAsia="仿宋_GB2312"/>
          <w:b/>
          <w:sz w:val="32"/>
        </w:rPr>
        <w:t>3. 落实改进责任和报告制度。</w:t>
      </w:r>
      <w:r>
        <w:rPr>
          <w:rFonts w:ascii="Times New Roman" w:hAnsi="Times New Roman" w:eastAsia="仿宋_GB2312"/>
          <w:sz w:val="32"/>
        </w:rPr>
        <w:t>针对年度分析发现的问题，形成书面整改方案，逐项明确责任单位、改进目标、具体措施、完成时限、过程指标、结果指标和验收材料。年度进展提交学校教学指导委员会审议，重大事项按程序提交校长办公会研究。</w:t>
      </w:r>
      <w:r>
        <w:rPr>
          <w:rFonts w:ascii="Times New Roman" w:hAnsi="Times New Roman" w:eastAsia="楷体_GB2312"/>
          <w:sz w:val="30"/>
        </w:rPr>
        <w:t>（牵头部门：医学部、教学质量监控与评估处）</w:t>
      </w:r>
    </w:p>
    <w:p>
      <w:pPr>
        <w:pStyle w:val="Heading2"/>
        <w:keepNext/>
        <w:spacing w:before="120" w:after="40" w:lineRule="exact" w:line="560"/>
        <w:jc w:val="left"/>
      </w:pPr>
      <w:r>
        <w:rPr>
          <w:rFonts w:ascii="Times New Roman" w:hAnsi="Times New Roman" w:eastAsia="黑体"/>
          <w:b/>
          <w:sz w:val="32"/>
        </w:rPr>
        <w:t>（二）加强课程教学与考核评价衔接</w:t>
      </w:r>
    </w:p>
    <w:p>
      <w:pPr>
        <w:spacing w:lineRule="exact" w:line="560" w:before="40" w:after="0"/>
        <w:ind w:firstLine="0" w:left="0"/>
        <w:jc w:val="both"/>
      </w:pPr>
      <w:r>
        <w:rPr>
          <w:rFonts w:ascii="Times New Roman" w:hAnsi="Times New Roman" w:eastAsia="仿宋_GB2312"/>
          <w:b/>
          <w:sz w:val="32"/>
        </w:rPr>
        <w:t>4. 梳理课程教学与培养要求的对应关系。</w:t>
      </w:r>
      <w:r>
        <w:rPr>
          <w:rFonts w:ascii="Times New Roman" w:hAnsi="Times New Roman" w:eastAsia="仿宋_GB2312"/>
          <w:sz w:val="32"/>
        </w:rPr>
        <w:t>坚持人才培养目标和毕业要求的主导地位，系统梳理毕业要求、课程目标、教学内容、教学方法、校内考核与行业准入要求之间的对应关系，重点检查课程覆盖、内容重复、衔接不足和综合应用要求落实情况。</w:t>
      </w:r>
      <w:r>
        <w:rPr>
          <w:rFonts w:ascii="Times New Roman" w:hAnsi="Times New Roman" w:eastAsia="楷体_GB2312"/>
          <w:sz w:val="30"/>
        </w:rPr>
        <w:t>（牵头部门：教务处、医学部）</w:t>
      </w:r>
    </w:p>
    <w:p>
      <w:pPr>
        <w:spacing w:lineRule="exact" w:line="560" w:before="40" w:after="0"/>
        <w:ind w:firstLine="0" w:left="0"/>
        <w:jc w:val="both"/>
      </w:pPr>
      <w:r>
        <w:rPr>
          <w:rFonts w:ascii="Times New Roman" w:hAnsi="Times New Roman" w:eastAsia="仿宋_GB2312"/>
          <w:b/>
          <w:sz w:val="32"/>
        </w:rPr>
        <w:t>5. 深化校内考核改革。</w:t>
      </w:r>
      <w:r>
        <w:rPr>
          <w:rFonts w:ascii="Times New Roman" w:hAnsi="Times New Roman" w:eastAsia="仿宋_GB2312"/>
          <w:sz w:val="32"/>
        </w:rPr>
        <w:t>依据课程性质合理配置形成性评价和终结性评价权重，完善试卷命题方案，增加病例型、情境型和综合应用型试题，开展试题难度、区分度、信度和选项功能分析。课程总评应综合反映知识、能力和职业素养目标的达成情况。</w:t>
      </w:r>
      <w:r>
        <w:rPr>
          <w:rFonts w:ascii="Times New Roman" w:hAnsi="Times New Roman" w:eastAsia="楷体_GB2312"/>
          <w:sz w:val="30"/>
        </w:rPr>
        <w:t>（牵头部门：教务处、基础医学院、临床医学院）</w:t>
      </w:r>
    </w:p>
    <w:p>
      <w:pPr>
        <w:spacing w:lineRule="exact" w:line="560" w:before="40" w:after="0"/>
        <w:ind w:firstLine="0" w:left="0"/>
        <w:jc w:val="both"/>
      </w:pPr>
      <w:r>
        <w:rPr>
          <w:rFonts w:ascii="Times New Roman" w:hAnsi="Times New Roman" w:eastAsia="仿宋_GB2312"/>
          <w:b/>
          <w:sz w:val="32"/>
        </w:rPr>
        <w:t>6. 开展分阶段综合测试。</w:t>
      </w:r>
      <w:r>
        <w:rPr>
          <w:rFonts w:ascii="Times New Roman" w:hAnsi="Times New Roman" w:eastAsia="仿宋_GB2312"/>
          <w:sz w:val="32"/>
        </w:rPr>
        <w:t>在基础医学阶段、临床课程阶段和实习阶段设置综合测试，内容覆盖基础、临床、预防和人文领域，形成学生个体和年级学习发展资料，用于课程改进、学业指导和毕业要求达成评价。</w:t>
      </w:r>
      <w:r>
        <w:rPr>
          <w:rFonts w:ascii="Times New Roman" w:hAnsi="Times New Roman" w:eastAsia="楷体_GB2312"/>
          <w:sz w:val="30"/>
        </w:rPr>
        <w:t>（牵头部门：医学部、教务处）</w:t>
      </w:r>
    </w:p>
    <w:p>
      <w:pPr>
        <w:pStyle w:val="Heading2"/>
        <w:keepNext/>
        <w:spacing w:before="120" w:after="40" w:lineRule="exact" w:line="560"/>
        <w:jc w:val="left"/>
      </w:pPr>
      <w:r>
        <w:rPr>
          <w:rFonts w:ascii="Times New Roman" w:hAnsi="Times New Roman" w:eastAsia="黑体"/>
          <w:b/>
          <w:sz w:val="32"/>
        </w:rPr>
        <w:t>（三）强化薄弱环节整改与基础临床融合</w:t>
      </w:r>
    </w:p>
    <w:p>
      <w:pPr>
        <w:spacing w:lineRule="exact" w:line="560" w:before="40" w:after="0"/>
        <w:ind w:firstLine="0" w:left="0"/>
        <w:jc w:val="both"/>
      </w:pPr>
      <w:r>
        <w:rPr>
          <w:rFonts w:ascii="Times New Roman" w:hAnsi="Times New Roman" w:eastAsia="仿宋_GB2312"/>
          <w:b/>
          <w:sz w:val="32"/>
        </w:rPr>
        <w:t>7. 开展重点学科专项改进。</w:t>
      </w:r>
      <w:r>
        <w:rPr>
          <w:rFonts w:ascii="Times New Roman" w:hAnsi="Times New Roman" w:eastAsia="仿宋_GB2312"/>
          <w:sz w:val="32"/>
        </w:rPr>
        <w:t>将解剖学、预防医学基本原理与方法、基础医学应用层列为持续改进重点，将医学免疫学、神经内科、骨科、肾脏内科、普通外科等列入2025年度重点分析范围。相关课程组应检查课程目标、教学内容、学时结构、师资稳定性、学生学习投入和校内考核结果，提出年度改进措施。</w:t>
      </w:r>
      <w:r>
        <w:rPr>
          <w:rFonts w:ascii="Times New Roman" w:hAnsi="Times New Roman" w:eastAsia="楷体_GB2312"/>
          <w:sz w:val="30"/>
        </w:rPr>
        <w:t>（牵头部门：基础医学院、临床医学院）</w:t>
      </w:r>
    </w:p>
    <w:p>
      <w:pPr>
        <w:spacing w:lineRule="exact" w:line="560" w:before="40" w:after="0"/>
        <w:ind w:firstLine="0" w:left="0"/>
        <w:jc w:val="both"/>
      </w:pPr>
      <w:r>
        <w:rPr>
          <w:rFonts w:ascii="Times New Roman" w:hAnsi="Times New Roman" w:eastAsia="仿宋_GB2312"/>
          <w:b/>
          <w:sz w:val="32"/>
        </w:rPr>
        <w:t>8. 推进基础医学与临床医学协同教学。</w:t>
      </w:r>
      <w:r>
        <w:rPr>
          <w:rFonts w:ascii="Times New Roman" w:hAnsi="Times New Roman" w:eastAsia="仿宋_GB2312"/>
          <w:sz w:val="32"/>
        </w:rPr>
        <w:t>建立基础医学教师与临床教师联合备课、案例共建和协同授课机制，将解剖、生理、病理、免疫、药理等基础知识融入临床问题解决情境，通过病例分析、综合应用题和分阶段综合测试评价教学效果。</w:t>
      </w:r>
      <w:r>
        <w:rPr>
          <w:rFonts w:ascii="Times New Roman" w:hAnsi="Times New Roman" w:eastAsia="楷体_GB2312"/>
          <w:sz w:val="30"/>
        </w:rPr>
        <w:t>（牵头部门：医学部、基础医学院、临床医学院）</w:t>
      </w:r>
    </w:p>
    <w:p>
      <w:pPr>
        <w:spacing w:lineRule="exact" w:line="560" w:before="40" w:after="0"/>
        <w:ind w:firstLine="0" w:left="0"/>
        <w:jc w:val="both"/>
      </w:pPr>
      <w:r>
        <w:rPr>
          <w:rFonts w:ascii="Times New Roman" w:hAnsi="Times New Roman" w:eastAsia="仿宋_GB2312"/>
          <w:b/>
          <w:sz w:val="32"/>
        </w:rPr>
        <w:t>9. 加强预防医学和医学人文教学。</w:t>
      </w:r>
      <w:r>
        <w:rPr>
          <w:rFonts w:ascii="Times New Roman" w:hAnsi="Times New Roman" w:eastAsia="仿宋_GB2312"/>
          <w:sz w:val="32"/>
        </w:rPr>
        <w:t>围绕医防融合、健康促进、临床预防服务、沟通、人文关怀、伦理与法律责任，将相关内容贯穿基础课程、临床技能训练和实习教学。依据正式发布的考试大纲和课程标准及时更新教学内容，完善情境模拟、伦理案例讨论和卫生健康法律法规实务训练。</w:t>
      </w:r>
      <w:r>
        <w:rPr>
          <w:rFonts w:ascii="Times New Roman" w:hAnsi="Times New Roman" w:eastAsia="楷体_GB2312"/>
          <w:sz w:val="30"/>
        </w:rPr>
        <w:t>（牵头部门：基础医学院、临床医学院、护理学院）</w:t>
      </w:r>
    </w:p>
    <w:p>
      <w:pPr>
        <w:pStyle w:val="Heading2"/>
        <w:keepNext/>
        <w:spacing w:before="120" w:after="40" w:lineRule="exact" w:line="560"/>
        <w:jc w:val="left"/>
      </w:pPr>
      <w:r>
        <w:rPr>
          <w:rFonts w:ascii="Times New Roman" w:hAnsi="Times New Roman" w:eastAsia="黑体"/>
          <w:b/>
          <w:sz w:val="32"/>
        </w:rPr>
        <w:t>（四）加强临床实践教学与教学基地质量管理</w:t>
      </w:r>
    </w:p>
    <w:p>
      <w:pPr>
        <w:spacing w:lineRule="exact" w:line="560" w:before="40" w:after="0"/>
        <w:ind w:firstLine="0" w:left="0"/>
        <w:jc w:val="both"/>
      </w:pPr>
      <w:r>
        <w:rPr>
          <w:rFonts w:ascii="Times New Roman" w:hAnsi="Times New Roman" w:eastAsia="仿宋_GB2312"/>
          <w:b/>
          <w:sz w:val="32"/>
        </w:rPr>
        <w:t>10. 完善临床技能训练和能力评价。</w:t>
      </w:r>
      <w:r>
        <w:rPr>
          <w:rFonts w:ascii="Times New Roman" w:hAnsi="Times New Roman" w:eastAsia="仿宋_GB2312"/>
          <w:sz w:val="32"/>
        </w:rPr>
        <w:t>建立覆盖基本技能、综合技能、临床思维和医患沟通的递进式训练体系，分阶段实施OSCE、Mini-CEX、DOPS、病例讨论和临床推理评价，统一考站设置、考核内容、评分标准、考官培训和质量控制。技能中心开放安排应结合课程计划和学生训练需求确定。</w:t>
      </w:r>
      <w:r>
        <w:rPr>
          <w:rFonts w:ascii="Times New Roman" w:hAnsi="Times New Roman" w:eastAsia="楷体_GB2312"/>
          <w:sz w:val="30"/>
        </w:rPr>
        <w:t>（牵头部门：临床医学院、附属医院）</w:t>
      </w:r>
    </w:p>
    <w:p>
      <w:pPr>
        <w:spacing w:lineRule="exact" w:line="560" w:before="40" w:after="0"/>
        <w:ind w:firstLine="0" w:left="0"/>
        <w:jc w:val="both"/>
      </w:pPr>
      <w:r>
        <w:rPr>
          <w:rFonts w:ascii="Times New Roman" w:hAnsi="Times New Roman" w:eastAsia="仿宋_GB2312"/>
          <w:b/>
          <w:sz w:val="32"/>
        </w:rPr>
        <w:t>11. 加强教学基地年度质量评估。</w:t>
      </w:r>
      <w:r>
        <w:rPr>
          <w:rFonts w:ascii="Times New Roman" w:hAnsi="Times New Roman" w:eastAsia="仿宋_GB2312"/>
          <w:sz w:val="32"/>
        </w:rPr>
        <w:t>统一附属医院和教学医院的临床教学标准，按基地分析学生课程成绩、临床能力评价、轮转完成情况、师资配置和学生评价，形成教学基地年度质量分析报告。对差距较大的基地开展专项改进和复查，持续提高临床教学质量的一致性。</w:t>
      </w:r>
      <w:r>
        <w:rPr>
          <w:rFonts w:ascii="Times New Roman" w:hAnsi="Times New Roman" w:eastAsia="楷体_GB2312"/>
          <w:sz w:val="30"/>
        </w:rPr>
        <w:t>（牵头部门：医学部、临床医学院、附属医院）</w:t>
      </w:r>
    </w:p>
    <w:p>
      <w:pPr>
        <w:pStyle w:val="Heading2"/>
        <w:keepNext/>
        <w:spacing w:before="120" w:after="40" w:lineRule="exact" w:line="560"/>
        <w:jc w:val="left"/>
      </w:pPr>
      <w:r>
        <w:rPr>
          <w:rFonts w:ascii="Times New Roman" w:hAnsi="Times New Roman" w:eastAsia="黑体"/>
          <w:b/>
          <w:sz w:val="32"/>
        </w:rPr>
        <w:t>（五）完善学生学业支持与毕业后跟踪服务</w:t>
      </w:r>
    </w:p>
    <w:p>
      <w:pPr>
        <w:spacing w:lineRule="exact" w:line="560" w:before="40" w:after="0"/>
        <w:ind w:firstLine="0" w:left="0"/>
        <w:jc w:val="both"/>
      </w:pPr>
      <w:r>
        <w:rPr>
          <w:rFonts w:ascii="Times New Roman" w:hAnsi="Times New Roman" w:eastAsia="仿宋_GB2312"/>
          <w:b/>
          <w:sz w:val="32"/>
        </w:rPr>
        <w:t>12. 健全学业预警和分类指导。</w:t>
      </w:r>
      <w:r>
        <w:rPr>
          <w:rFonts w:ascii="Times New Roman" w:hAnsi="Times New Roman" w:eastAsia="仿宋_GB2312"/>
          <w:sz w:val="32"/>
        </w:rPr>
        <w:t>重点统计300分以下、300—329分、330—359分等考生群体，结合课程不及格、补考、分阶段综合测试和实习表现，提前识别学习困难学生，制定个人学习支持方案。过程评价重点关注预警覆盖率、指导完成率和后续学习改善情况。</w:t>
      </w:r>
      <w:r>
        <w:rPr>
          <w:rFonts w:ascii="Times New Roman" w:hAnsi="Times New Roman" w:eastAsia="楷体_GB2312"/>
          <w:sz w:val="30"/>
        </w:rPr>
        <w:t>（牵头部门：基础医学院、临床医学院、学生工作部门）</w:t>
      </w:r>
    </w:p>
    <w:p>
      <w:pPr>
        <w:spacing w:lineRule="exact" w:line="560" w:before="40" w:after="0"/>
        <w:ind w:firstLine="0" w:left="0"/>
        <w:jc w:val="both"/>
      </w:pPr>
      <w:r>
        <w:rPr>
          <w:rFonts w:ascii="Times New Roman" w:hAnsi="Times New Roman" w:eastAsia="仿宋_GB2312"/>
          <w:b/>
          <w:sz w:val="32"/>
        </w:rPr>
        <w:t>13. 完善毕业生跟踪服务。</w:t>
      </w:r>
      <w:r>
        <w:rPr>
          <w:rFonts w:ascii="Times New Roman" w:hAnsi="Times New Roman" w:eastAsia="仿宋_GB2312"/>
          <w:sz w:val="32"/>
        </w:rPr>
        <w:t>对毕业后未通过医师资格考试的校友，建立常态化联系机制，定期提供政策解读、考试大纲、学习资源、线上辅导和经验交流。非应届考生单独统计和分析，相关结果用于改进毕业后支持服务。</w:t>
      </w:r>
      <w:r>
        <w:rPr>
          <w:rFonts w:ascii="Times New Roman" w:hAnsi="Times New Roman" w:eastAsia="楷体_GB2312"/>
          <w:sz w:val="30"/>
        </w:rPr>
        <w:t>（牵头部门：临床医学院）</w:t>
      </w:r>
    </w:p>
    <w:p>
      <w:pPr>
        <w:spacing w:lineRule="exact" w:line="560" w:before="40" w:after="0"/>
        <w:ind w:firstLine="0" w:left="0"/>
        <w:jc w:val="both"/>
      </w:pPr>
      <w:r>
        <w:rPr>
          <w:rFonts w:ascii="Times New Roman" w:hAnsi="Times New Roman" w:eastAsia="仿宋_GB2312"/>
          <w:b/>
          <w:sz w:val="32"/>
        </w:rPr>
        <w:t>14. 完善工作评价方式。</w:t>
      </w:r>
      <w:r>
        <w:rPr>
          <w:rFonts w:ascii="Times New Roman" w:hAnsi="Times New Roman" w:eastAsia="仿宋_GB2312"/>
          <w:sz w:val="32"/>
        </w:rPr>
        <w:t>教师教学质量评价实行团队评价和多指标综合评价，重点考察课程建设、教学实施、学生能力达成和持续改进成效；学生支持工作以学习发展、能力提升和服务效果为主要评价内容。涉及学生成绩告知和家校沟通的事项，按照学校制度和学生知情原则规范实施。</w:t>
      </w:r>
      <w:r>
        <w:rPr>
          <w:rFonts w:ascii="Times New Roman" w:hAnsi="Times New Roman" w:eastAsia="楷体_GB2312"/>
          <w:sz w:val="30"/>
        </w:rPr>
        <w:t>（牵头部门：教务处、医学部、学生工作部门）</w:t>
      </w:r>
    </w:p>
    <w:p>
      <w:pPr>
        <w:pStyle w:val="Heading1"/>
        <w:keepNext/>
        <w:spacing w:before="200" w:after="100" w:lineRule="exact" w:line="600"/>
        <w:jc w:val="left"/>
      </w:pPr>
      <w:r>
        <w:rPr>
          <w:rFonts w:ascii="Times New Roman" w:hAnsi="Times New Roman" w:eastAsia="黑体"/>
          <w:b/>
          <w:sz w:val="40"/>
        </w:rPr>
        <w:t>八、未来三年工作目标</w:t>
      </w:r>
    </w:p>
    <w:p>
      <w:pPr>
        <w:spacing w:lineRule="exact" w:line="560" w:before="0" w:after="0"/>
        <w:ind w:firstLine="640"/>
        <w:jc w:val="both"/>
      </w:pPr>
      <w:r>
        <w:rPr>
          <w:rFonts w:ascii="Times New Roman" w:hAnsi="Times New Roman" w:eastAsia="仿宋_GB2312"/>
          <w:b w:val="0"/>
          <w:sz w:val="32"/>
        </w:rPr>
        <w:t>未来三年以相对全国表现、连续年度结果和关键过程指标为重点，实行年度评价和适时调整。</w:t>
      </w:r>
    </w:p>
    <w:p>
      <w:pPr>
        <w:spacing w:before="120" w:after="80"/>
        <w:jc w:val="center"/>
      </w:pPr>
      <w:r>
        <w:rPr>
          <w:rFonts w:ascii="Times New Roman" w:hAnsi="Times New Roman" w:eastAsia="宋体"/>
          <w:b/>
          <w:sz w:val="24"/>
        </w:rPr>
        <w:t>表12  未来三年主要目标</w:t>
      </w:r>
    </w:p>
    <w:tbl>
      <w:tblPr>
        <w:tblStyle w:val="TableGrid"/>
        <w:tblW w:type="dxa" w:w="9072"/>
        <w:jc w:val="center"/>
        <w:tblLayout w:type="autofit"/>
        <w:tblLook w:firstColumn="1" w:firstRow="1" w:lastColumn="0" w:lastRow="0" w:noHBand="0" w:noVBand="1" w:val="04A0"/>
      </w:tblPr>
      <w:tblGrid>
        <w:gridCol w:w="2948"/>
        <w:gridCol w:w="2948"/>
        <w:gridCol w:w="2948"/>
      </w:tblGrid>
      <w:tr>
        <w:trPr>
          <w:tblHeader w:val="true"/>
          <w:cantSplit/>
        </w:trPr>
        <w:tc>
          <w:tcPr>
            <w:tcW w:type="dxa" w:w="2324"/>
            <w:vAlign w:val="center"/>
            <w:shd w:fill="D9E2F3"/>
            <w:tcMar>
              <w:top w:w="60" w:type="dxa"/>
              <w:start w:w="80" w:type="dxa"/>
              <w:bottom w:w="60" w:type="dxa"/>
              <w:end w:w="80" w:type="dxa"/>
            </w:tcMar>
          </w:tcPr>
          <w:p>
            <w:pPr>
              <w:spacing w:before="0" w:after="0" w:line="240" w:lineRule="auto"/>
              <w:jc w:val="center"/>
            </w:pPr>
            <w:r/>
            <w:r>
              <w:rPr>
                <w:rFonts w:ascii="Times New Roman" w:hAnsi="Times New Roman" w:eastAsia="宋体"/>
                <w:b/>
                <w:sz w:val="18"/>
              </w:rPr>
              <w:t>指标</w:t>
            </w:r>
          </w:p>
        </w:tc>
        <w:tc>
          <w:tcPr>
            <w:tcW w:type="dxa" w:w="3118"/>
            <w:vAlign w:val="center"/>
            <w:shd w:fill="D9E2F3"/>
            <w:tcMar>
              <w:top w:w="60" w:type="dxa"/>
              <w:start w:w="80" w:type="dxa"/>
              <w:bottom w:w="60" w:type="dxa"/>
              <w:end w:w="80" w:type="dxa"/>
            </w:tcMar>
          </w:tcPr>
          <w:p>
            <w:pPr>
              <w:spacing w:before="0" w:after="0" w:line="240" w:lineRule="auto"/>
              <w:jc w:val="center"/>
            </w:pPr>
            <w:r/>
            <w:r>
              <w:rPr>
                <w:rFonts w:ascii="Times New Roman" w:hAnsi="Times New Roman" w:eastAsia="宋体"/>
                <w:b/>
                <w:sz w:val="18"/>
              </w:rPr>
              <w:t>2025年情况</w:t>
            </w:r>
          </w:p>
        </w:tc>
        <w:tc>
          <w:tcPr>
            <w:tcW w:type="dxa" w:w="3402"/>
            <w:vAlign w:val="center"/>
            <w:shd w:fill="D9E2F3"/>
            <w:tcMar>
              <w:top w:w="60" w:type="dxa"/>
              <w:start w:w="80" w:type="dxa"/>
              <w:bottom w:w="60" w:type="dxa"/>
              <w:end w:w="80" w:type="dxa"/>
            </w:tcMar>
          </w:tcPr>
          <w:p>
            <w:pPr>
              <w:spacing w:before="0" w:after="0" w:line="240" w:lineRule="auto"/>
              <w:jc w:val="center"/>
            </w:pPr>
            <w:r/>
            <w:r>
              <w:rPr>
                <w:rFonts w:ascii="Times New Roman" w:hAnsi="Times New Roman" w:eastAsia="宋体"/>
                <w:b/>
                <w:sz w:val="18"/>
              </w:rPr>
              <w:t>三年目标</w:t>
            </w:r>
          </w:p>
        </w:tc>
      </w:tr>
      <w:tr>
        <w:trPr>
          <w:cantSplit/>
        </w:trPr>
        <w:tc>
          <w:tcPr>
            <w:tcW w:type="dxa" w:w="2324"/>
            <w:vAlign w:val="center"/>
            <w:tcMar>
              <w:top w:w="60" w:type="dxa"/>
              <w:start w:w="80" w:type="dxa"/>
              <w:bottom w:w="60" w:type="dxa"/>
              <w:end w:w="80" w:type="dxa"/>
            </w:tcMar>
          </w:tcPr>
          <w:p>
            <w:pPr>
              <w:spacing w:before="0" w:after="0" w:line="240" w:lineRule="auto"/>
              <w:jc w:val="left"/>
            </w:pPr>
            <w:r/>
            <w:r>
              <w:rPr>
                <w:rFonts w:ascii="Times New Roman" w:hAnsi="Times New Roman" w:eastAsia="宋体"/>
                <w:b w:val="0"/>
                <w:sz w:val="18"/>
              </w:rPr>
              <w:t>总通过率与全国差距</w:t>
            </w:r>
          </w:p>
        </w:tc>
        <w:tc>
          <w:tcPr>
            <w:tcW w:type="dxa" w:w="3118"/>
            <w:vAlign w:val="center"/>
            <w:tcMar>
              <w:top w:w="60" w:type="dxa"/>
              <w:start w:w="80" w:type="dxa"/>
              <w:bottom w:w="60" w:type="dxa"/>
              <w:end w:w="80" w:type="dxa"/>
            </w:tcMar>
          </w:tcPr>
          <w:p>
            <w:pPr>
              <w:spacing w:before="0" w:after="0" w:line="240" w:lineRule="auto"/>
              <w:jc w:val="center"/>
            </w:pPr>
            <w:r/>
            <w:r>
              <w:rPr>
                <w:rFonts w:ascii="Times New Roman" w:hAnsi="Times New Roman" w:eastAsia="宋体"/>
                <w:b w:val="0"/>
                <w:sz w:val="18"/>
              </w:rPr>
              <w:t>低于全国2.38个百分点</w:t>
            </w:r>
          </w:p>
        </w:tc>
        <w:tc>
          <w:tcPr>
            <w:tcW w:type="dxa" w:w="3402"/>
            <w:vAlign w:val="center"/>
            <w:tcMar>
              <w:top w:w="60" w:type="dxa"/>
              <w:start w:w="80" w:type="dxa"/>
              <w:bottom w:w="60" w:type="dxa"/>
              <w:end w:w="80" w:type="dxa"/>
            </w:tcMar>
          </w:tcPr>
          <w:p>
            <w:pPr>
              <w:spacing w:before="0" w:after="0" w:line="240" w:lineRule="auto"/>
              <w:jc w:val="center"/>
            </w:pPr>
            <w:r/>
            <w:r>
              <w:rPr>
                <w:rFonts w:ascii="Times New Roman" w:hAnsi="Times New Roman" w:eastAsia="宋体"/>
                <w:b w:val="0"/>
                <w:sz w:val="18"/>
              </w:rPr>
              <w:t>控制在±1个百分点以内</w:t>
            </w:r>
          </w:p>
        </w:tc>
      </w:tr>
      <w:tr>
        <w:trPr>
          <w:cantSplit/>
        </w:trPr>
        <w:tc>
          <w:tcPr>
            <w:tcW w:type="dxa" w:w="2324"/>
            <w:vAlign w:val="center"/>
            <w:tcMar>
              <w:top w:w="60" w:type="dxa"/>
              <w:start w:w="80" w:type="dxa"/>
              <w:bottom w:w="60" w:type="dxa"/>
              <w:end w:w="80" w:type="dxa"/>
            </w:tcMar>
          </w:tcPr>
          <w:p>
            <w:pPr>
              <w:spacing w:before="0" w:after="0" w:line="240" w:lineRule="auto"/>
              <w:jc w:val="left"/>
            </w:pPr>
            <w:r/>
            <w:r>
              <w:rPr>
                <w:rFonts w:ascii="Times New Roman" w:hAnsi="Times New Roman" w:eastAsia="宋体"/>
                <w:b w:val="0"/>
                <w:sz w:val="18"/>
              </w:rPr>
              <w:t>总通过率连续性</w:t>
            </w:r>
          </w:p>
        </w:tc>
        <w:tc>
          <w:tcPr>
            <w:tcW w:type="dxa" w:w="3118"/>
            <w:vAlign w:val="center"/>
            <w:tcMar>
              <w:top w:w="60" w:type="dxa"/>
              <w:start w:w="80" w:type="dxa"/>
              <w:bottom w:w="60" w:type="dxa"/>
              <w:end w:w="80" w:type="dxa"/>
            </w:tcMar>
          </w:tcPr>
          <w:p>
            <w:pPr>
              <w:spacing w:before="0" w:after="0" w:line="240" w:lineRule="auto"/>
              <w:jc w:val="center"/>
            </w:pPr>
            <w:r/>
            <w:r>
              <w:rPr>
                <w:rFonts w:ascii="Times New Roman" w:hAnsi="Times New Roman" w:eastAsia="宋体"/>
                <w:b w:val="0"/>
                <w:sz w:val="18"/>
              </w:rPr>
              <w:t>2024年和2025年连续低于全国，均为D级</w:t>
            </w:r>
          </w:p>
        </w:tc>
        <w:tc>
          <w:tcPr>
            <w:tcW w:type="dxa" w:w="3402"/>
            <w:vAlign w:val="center"/>
            <w:tcMar>
              <w:top w:w="60" w:type="dxa"/>
              <w:start w:w="80" w:type="dxa"/>
              <w:bottom w:w="60" w:type="dxa"/>
              <w:end w:w="80" w:type="dxa"/>
            </w:tcMar>
          </w:tcPr>
          <w:p>
            <w:pPr>
              <w:spacing w:before="0" w:after="0" w:line="240" w:lineRule="auto"/>
              <w:jc w:val="center"/>
            </w:pPr>
            <w:r/>
            <w:r>
              <w:rPr>
                <w:rFonts w:ascii="Times New Roman" w:hAnsi="Times New Roman" w:eastAsia="宋体"/>
                <w:b w:val="0"/>
                <w:sz w:val="18"/>
              </w:rPr>
              <w:t>连续两年达到或超过全国平均水平，百分等级达到C级及以上</w:t>
            </w:r>
          </w:p>
        </w:tc>
      </w:tr>
      <w:tr>
        <w:trPr>
          <w:cantSplit/>
        </w:trPr>
        <w:tc>
          <w:tcPr>
            <w:tcW w:type="dxa" w:w="2324"/>
            <w:vAlign w:val="center"/>
            <w:tcMar>
              <w:top w:w="60" w:type="dxa"/>
              <w:start w:w="80" w:type="dxa"/>
              <w:bottom w:w="60" w:type="dxa"/>
              <w:end w:w="80" w:type="dxa"/>
            </w:tcMar>
          </w:tcPr>
          <w:p>
            <w:pPr>
              <w:spacing w:before="0" w:after="0" w:line="240" w:lineRule="auto"/>
              <w:jc w:val="left"/>
            </w:pPr>
            <w:r/>
            <w:r>
              <w:rPr>
                <w:rFonts w:ascii="Times New Roman" w:hAnsi="Times New Roman" w:eastAsia="宋体"/>
                <w:b w:val="0"/>
                <w:sz w:val="18"/>
              </w:rPr>
              <w:t>医学综合考试平均分差距</w:t>
            </w:r>
          </w:p>
        </w:tc>
        <w:tc>
          <w:tcPr>
            <w:tcW w:type="dxa" w:w="3118"/>
            <w:vAlign w:val="center"/>
            <w:tcMar>
              <w:top w:w="60" w:type="dxa"/>
              <w:start w:w="80" w:type="dxa"/>
              <w:bottom w:w="60" w:type="dxa"/>
              <w:end w:w="80" w:type="dxa"/>
            </w:tcMar>
          </w:tcPr>
          <w:p>
            <w:pPr>
              <w:spacing w:before="0" w:after="0" w:line="240" w:lineRule="auto"/>
              <w:jc w:val="center"/>
            </w:pPr>
            <w:r/>
            <w:r>
              <w:rPr>
                <w:rFonts w:ascii="Times New Roman" w:hAnsi="Times New Roman" w:eastAsia="宋体"/>
                <w:b w:val="0"/>
                <w:sz w:val="18"/>
              </w:rPr>
              <w:t>低于全国9.03分</w:t>
            </w:r>
          </w:p>
        </w:tc>
        <w:tc>
          <w:tcPr>
            <w:tcW w:type="dxa" w:w="3402"/>
            <w:vAlign w:val="center"/>
            <w:tcMar>
              <w:top w:w="60" w:type="dxa"/>
              <w:start w:w="80" w:type="dxa"/>
              <w:bottom w:w="60" w:type="dxa"/>
              <w:end w:w="80" w:type="dxa"/>
            </w:tcMar>
          </w:tcPr>
          <w:p>
            <w:pPr>
              <w:spacing w:before="0" w:after="0" w:line="240" w:lineRule="auto"/>
              <w:jc w:val="center"/>
            </w:pPr>
            <w:r/>
            <w:r>
              <w:rPr>
                <w:rFonts w:ascii="Times New Roman" w:hAnsi="Times New Roman" w:eastAsia="宋体"/>
                <w:b w:val="0"/>
                <w:sz w:val="18"/>
              </w:rPr>
              <w:t>控制在3分以内</w:t>
            </w:r>
          </w:p>
        </w:tc>
      </w:tr>
      <w:tr>
        <w:trPr>
          <w:cantSplit/>
        </w:trPr>
        <w:tc>
          <w:tcPr>
            <w:tcW w:type="dxa" w:w="2324"/>
            <w:vAlign w:val="center"/>
            <w:tcMar>
              <w:top w:w="60" w:type="dxa"/>
              <w:start w:w="80" w:type="dxa"/>
              <w:bottom w:w="60" w:type="dxa"/>
              <w:end w:w="80" w:type="dxa"/>
            </w:tcMar>
          </w:tcPr>
          <w:p>
            <w:pPr>
              <w:spacing w:before="0" w:after="0" w:line="240" w:lineRule="auto"/>
              <w:jc w:val="left"/>
            </w:pPr>
            <w:r/>
            <w:r>
              <w:rPr>
                <w:rFonts w:ascii="Times New Roman" w:hAnsi="Times New Roman" w:eastAsia="宋体"/>
                <w:b w:val="0"/>
                <w:sz w:val="18"/>
              </w:rPr>
              <w:t>实践技能考试表现</w:t>
            </w:r>
          </w:p>
        </w:tc>
        <w:tc>
          <w:tcPr>
            <w:tcW w:type="dxa" w:w="3118"/>
            <w:vAlign w:val="center"/>
            <w:tcMar>
              <w:top w:w="60" w:type="dxa"/>
              <w:start w:w="80" w:type="dxa"/>
              <w:bottom w:w="60" w:type="dxa"/>
              <w:end w:w="80" w:type="dxa"/>
            </w:tcMar>
          </w:tcPr>
          <w:p>
            <w:pPr>
              <w:spacing w:before="0" w:after="0" w:line="240" w:lineRule="auto"/>
              <w:jc w:val="center"/>
            </w:pPr>
            <w:r/>
            <w:r>
              <w:rPr>
                <w:rFonts w:ascii="Times New Roman" w:hAnsi="Times New Roman" w:eastAsia="宋体"/>
                <w:b w:val="0"/>
                <w:sz w:val="18"/>
              </w:rPr>
              <w:t>低于全国1.33个百分点，D级</w:t>
            </w:r>
          </w:p>
        </w:tc>
        <w:tc>
          <w:tcPr>
            <w:tcW w:type="dxa" w:w="3402"/>
            <w:vAlign w:val="center"/>
            <w:tcMar>
              <w:top w:w="60" w:type="dxa"/>
              <w:start w:w="80" w:type="dxa"/>
              <w:bottom w:w="60" w:type="dxa"/>
              <w:end w:w="80" w:type="dxa"/>
            </w:tcMar>
          </w:tcPr>
          <w:p>
            <w:pPr>
              <w:spacing w:before="0" w:after="0" w:line="240" w:lineRule="auto"/>
              <w:jc w:val="center"/>
            </w:pPr>
            <w:r/>
            <w:r>
              <w:rPr>
                <w:rFonts w:ascii="Times New Roman" w:hAnsi="Times New Roman" w:eastAsia="宋体"/>
                <w:b w:val="0"/>
                <w:sz w:val="18"/>
              </w:rPr>
              <w:t>稳定达到或超过全国平均水平，百分等级达到C级及以上</w:t>
            </w:r>
          </w:p>
        </w:tc>
      </w:tr>
      <w:tr>
        <w:trPr>
          <w:cantSplit/>
        </w:trPr>
        <w:tc>
          <w:tcPr>
            <w:tcW w:type="dxa" w:w="2324"/>
            <w:vAlign w:val="center"/>
            <w:tcMar>
              <w:top w:w="60" w:type="dxa"/>
              <w:start w:w="80" w:type="dxa"/>
              <w:bottom w:w="60" w:type="dxa"/>
              <w:end w:w="80" w:type="dxa"/>
            </w:tcMar>
          </w:tcPr>
          <w:p>
            <w:pPr>
              <w:spacing w:before="0" w:after="0" w:line="240" w:lineRule="auto"/>
              <w:jc w:val="left"/>
            </w:pPr>
            <w:r/>
            <w:r>
              <w:rPr>
                <w:rFonts w:ascii="Times New Roman" w:hAnsi="Times New Roman" w:eastAsia="宋体"/>
                <w:b w:val="0"/>
                <w:sz w:val="18"/>
              </w:rPr>
              <w:t>重点知识点相对差距</w:t>
            </w:r>
          </w:p>
        </w:tc>
        <w:tc>
          <w:tcPr>
            <w:tcW w:type="dxa" w:w="3118"/>
            <w:vAlign w:val="center"/>
            <w:tcMar>
              <w:top w:w="60" w:type="dxa"/>
              <w:start w:w="80" w:type="dxa"/>
              <w:bottom w:w="60" w:type="dxa"/>
              <w:end w:w="80" w:type="dxa"/>
            </w:tcMar>
          </w:tcPr>
          <w:p>
            <w:pPr>
              <w:spacing w:before="0" w:after="0" w:line="240" w:lineRule="auto"/>
              <w:jc w:val="center"/>
            </w:pPr>
            <w:r/>
            <w:r>
              <w:rPr>
                <w:rFonts w:ascii="Times New Roman" w:hAnsi="Times New Roman" w:eastAsia="宋体"/>
                <w:b w:val="0"/>
                <w:sz w:val="18"/>
              </w:rPr>
              <w:t>解剖学-5.26个百分点；医学免疫学-5.63个百分点</w:t>
            </w:r>
          </w:p>
        </w:tc>
        <w:tc>
          <w:tcPr>
            <w:tcW w:type="dxa" w:w="3402"/>
            <w:vAlign w:val="center"/>
            <w:tcMar>
              <w:top w:w="60" w:type="dxa"/>
              <w:start w:w="80" w:type="dxa"/>
              <w:bottom w:w="60" w:type="dxa"/>
              <w:end w:w="80" w:type="dxa"/>
            </w:tcMar>
          </w:tcPr>
          <w:p>
            <w:pPr>
              <w:spacing w:before="0" w:after="0" w:line="240" w:lineRule="auto"/>
              <w:jc w:val="center"/>
            </w:pPr>
            <w:r/>
            <w:r>
              <w:rPr>
                <w:rFonts w:ascii="Times New Roman" w:hAnsi="Times New Roman" w:eastAsia="宋体"/>
                <w:b w:val="0"/>
                <w:sz w:val="18"/>
              </w:rPr>
              <w:t>与全国差距较2025年缩小50%以上</w:t>
            </w:r>
          </w:p>
        </w:tc>
      </w:tr>
      <w:tr>
        <w:trPr>
          <w:cantSplit/>
        </w:trPr>
        <w:tc>
          <w:tcPr>
            <w:tcW w:type="dxa" w:w="2324"/>
            <w:vAlign w:val="center"/>
            <w:tcMar>
              <w:top w:w="60" w:type="dxa"/>
              <w:start w:w="80" w:type="dxa"/>
              <w:bottom w:w="60" w:type="dxa"/>
              <w:end w:w="80" w:type="dxa"/>
            </w:tcMar>
          </w:tcPr>
          <w:p>
            <w:pPr>
              <w:spacing w:before="0" w:after="0" w:line="240" w:lineRule="auto"/>
              <w:jc w:val="left"/>
            </w:pPr>
            <w:r/>
            <w:r>
              <w:rPr>
                <w:rFonts w:ascii="Times New Roman" w:hAnsi="Times New Roman" w:eastAsia="宋体"/>
                <w:b w:val="0"/>
                <w:sz w:val="18"/>
              </w:rPr>
              <w:t>核心课程对应关系梳理</w:t>
            </w:r>
          </w:p>
        </w:tc>
        <w:tc>
          <w:tcPr>
            <w:tcW w:type="dxa" w:w="3118"/>
            <w:vAlign w:val="center"/>
            <w:tcMar>
              <w:top w:w="60" w:type="dxa"/>
              <w:start w:w="80" w:type="dxa"/>
              <w:bottom w:w="60" w:type="dxa"/>
              <w:end w:w="80" w:type="dxa"/>
            </w:tcMar>
          </w:tcPr>
          <w:p>
            <w:pPr>
              <w:spacing w:before="0" w:after="0" w:line="240" w:lineRule="auto"/>
              <w:jc w:val="center"/>
            </w:pPr>
            <w:r/>
            <w:r>
              <w:rPr>
                <w:rFonts w:ascii="Times New Roman" w:hAnsi="Times New Roman" w:eastAsia="宋体"/>
                <w:b w:val="0"/>
                <w:sz w:val="18"/>
              </w:rPr>
              <w:t>尚未形成统一校级成果</w:t>
            </w:r>
          </w:p>
        </w:tc>
        <w:tc>
          <w:tcPr>
            <w:tcW w:type="dxa" w:w="3402"/>
            <w:vAlign w:val="center"/>
            <w:tcMar>
              <w:top w:w="60" w:type="dxa"/>
              <w:start w:w="80" w:type="dxa"/>
              <w:bottom w:w="60" w:type="dxa"/>
              <w:end w:w="80" w:type="dxa"/>
            </w:tcMar>
          </w:tcPr>
          <w:p>
            <w:pPr>
              <w:spacing w:before="0" w:after="0" w:line="240" w:lineRule="auto"/>
              <w:jc w:val="center"/>
            </w:pPr>
            <w:r/>
            <w:r>
              <w:rPr>
                <w:rFonts w:ascii="Times New Roman" w:hAnsi="Times New Roman" w:eastAsia="宋体"/>
                <w:b w:val="0"/>
                <w:sz w:val="18"/>
              </w:rPr>
              <w:t>核心课程全部完成梳理并通过审核</w:t>
            </w:r>
          </w:p>
        </w:tc>
      </w:tr>
      <w:tr>
        <w:trPr>
          <w:cantSplit/>
        </w:trPr>
        <w:tc>
          <w:tcPr>
            <w:tcW w:type="dxa" w:w="2324"/>
            <w:vAlign w:val="center"/>
            <w:tcMar>
              <w:top w:w="60" w:type="dxa"/>
              <w:start w:w="80" w:type="dxa"/>
              <w:bottom w:w="60" w:type="dxa"/>
              <w:end w:w="80" w:type="dxa"/>
            </w:tcMar>
          </w:tcPr>
          <w:p>
            <w:pPr>
              <w:spacing w:before="0" w:after="0" w:line="240" w:lineRule="auto"/>
              <w:jc w:val="left"/>
            </w:pPr>
            <w:r/>
            <w:r>
              <w:rPr>
                <w:rFonts w:ascii="Times New Roman" w:hAnsi="Times New Roman" w:eastAsia="宋体"/>
                <w:b w:val="0"/>
                <w:sz w:val="18"/>
              </w:rPr>
              <w:t>分阶段综合测试和试题分析</w:t>
            </w:r>
          </w:p>
        </w:tc>
        <w:tc>
          <w:tcPr>
            <w:tcW w:type="dxa" w:w="3118"/>
            <w:vAlign w:val="center"/>
            <w:tcMar>
              <w:top w:w="60" w:type="dxa"/>
              <w:start w:w="80" w:type="dxa"/>
              <w:bottom w:w="60" w:type="dxa"/>
              <w:end w:w="80" w:type="dxa"/>
            </w:tcMar>
          </w:tcPr>
          <w:p>
            <w:pPr>
              <w:spacing w:before="0" w:after="0" w:line="240" w:lineRule="auto"/>
              <w:jc w:val="center"/>
            </w:pPr>
            <w:r/>
            <w:r>
              <w:rPr>
                <w:rFonts w:ascii="Times New Roman" w:hAnsi="Times New Roman" w:eastAsia="宋体"/>
                <w:b w:val="0"/>
                <w:sz w:val="18"/>
              </w:rPr>
              <w:t>尚未形成完整体系</w:t>
            </w:r>
          </w:p>
        </w:tc>
        <w:tc>
          <w:tcPr>
            <w:tcW w:type="dxa" w:w="3402"/>
            <w:vAlign w:val="center"/>
            <w:tcMar>
              <w:top w:w="60" w:type="dxa"/>
              <w:start w:w="80" w:type="dxa"/>
              <w:bottom w:w="60" w:type="dxa"/>
              <w:end w:w="80" w:type="dxa"/>
            </w:tcMar>
          </w:tcPr>
          <w:p>
            <w:pPr>
              <w:spacing w:before="0" w:after="0" w:line="240" w:lineRule="auto"/>
              <w:jc w:val="center"/>
            </w:pPr>
            <w:r/>
            <w:r>
              <w:rPr>
                <w:rFonts w:ascii="Times New Roman" w:hAnsi="Times New Roman" w:eastAsia="宋体"/>
                <w:b w:val="0"/>
                <w:sz w:val="18"/>
              </w:rPr>
              <w:t>覆盖主要培养阶段；核心课程年度试题分析率100%</w:t>
            </w:r>
          </w:p>
        </w:tc>
      </w:tr>
      <w:tr>
        <w:trPr>
          <w:cantSplit/>
        </w:trPr>
        <w:tc>
          <w:tcPr>
            <w:tcW w:type="dxa" w:w="2324"/>
            <w:vAlign w:val="center"/>
            <w:tcMar>
              <w:top w:w="60" w:type="dxa"/>
              <w:start w:w="80" w:type="dxa"/>
              <w:bottom w:w="60" w:type="dxa"/>
              <w:end w:w="80" w:type="dxa"/>
            </w:tcMar>
          </w:tcPr>
          <w:p>
            <w:pPr>
              <w:spacing w:before="0" w:after="0" w:line="240" w:lineRule="auto"/>
              <w:jc w:val="left"/>
            </w:pPr>
            <w:r/>
            <w:r>
              <w:rPr>
                <w:rFonts w:ascii="Times New Roman" w:hAnsi="Times New Roman" w:eastAsia="宋体"/>
                <w:b w:val="0"/>
                <w:sz w:val="18"/>
              </w:rPr>
              <w:t>教学基地质量评估和学生指导</w:t>
            </w:r>
          </w:p>
        </w:tc>
        <w:tc>
          <w:tcPr>
            <w:tcW w:type="dxa" w:w="3118"/>
            <w:vAlign w:val="center"/>
            <w:tcMar>
              <w:top w:w="60" w:type="dxa"/>
              <w:start w:w="80" w:type="dxa"/>
              <w:bottom w:w="60" w:type="dxa"/>
              <w:end w:w="80" w:type="dxa"/>
            </w:tcMar>
          </w:tcPr>
          <w:p>
            <w:pPr>
              <w:spacing w:before="0" w:after="0" w:line="240" w:lineRule="auto"/>
              <w:jc w:val="center"/>
            </w:pPr>
            <w:r/>
            <w:r>
              <w:rPr>
                <w:rFonts w:ascii="Times New Roman" w:hAnsi="Times New Roman" w:eastAsia="宋体"/>
                <w:b w:val="0"/>
                <w:sz w:val="18"/>
              </w:rPr>
              <w:t>缺少统一结果指标</w:t>
            </w:r>
          </w:p>
        </w:tc>
        <w:tc>
          <w:tcPr>
            <w:tcW w:type="dxa" w:w="3402"/>
            <w:vAlign w:val="center"/>
            <w:tcMar>
              <w:top w:w="60" w:type="dxa"/>
              <w:start w:w="80" w:type="dxa"/>
              <w:bottom w:w="60" w:type="dxa"/>
              <w:end w:w="80" w:type="dxa"/>
            </w:tcMar>
          </w:tcPr>
          <w:p>
            <w:pPr>
              <w:spacing w:before="0" w:after="0" w:line="240" w:lineRule="auto"/>
              <w:jc w:val="center"/>
            </w:pPr>
            <w:r/>
            <w:r>
              <w:rPr>
                <w:rFonts w:ascii="Times New Roman" w:hAnsi="Times New Roman" w:eastAsia="宋体"/>
                <w:b w:val="0"/>
                <w:sz w:val="18"/>
              </w:rPr>
              <w:t>教学基地年度质量评估率100%；重点预警学生指导完成率不低于90%</w:t>
            </w:r>
          </w:p>
        </w:tc>
      </w:tr>
    </w:tbl>
    <w:p>
      <w:pPr>
        <w:spacing w:after="0"/>
      </w:pPr>
    </w:p>
    <w:p>
      <w:pPr>
        <w:spacing w:lineRule="exact" w:line="560" w:before="0" w:after="0"/>
        <w:ind w:firstLine="640"/>
        <w:jc w:val="both"/>
      </w:pPr>
      <w:r>
        <w:rPr>
          <w:rFonts w:ascii="Times New Roman" w:hAnsi="Times New Roman" w:eastAsia="仿宋_GB2312"/>
          <w:b w:val="0"/>
          <w:sz w:val="32"/>
        </w:rPr>
        <w:t>百分等级由当年参评学校的相对位置确定，固定通过率与百分等级分别评价。学校每年根据考试政策、试题结构、参评范围和实际工作进展，对目标完成情况进行评估；目标调整事项提交学校教学指导委员会审议。</w:t>
      </w:r>
    </w:p>
    <w:p>
      <w:pPr>
        <w:pStyle w:val="Heading1"/>
        <w:keepNext/>
        <w:spacing w:before="200" w:after="100" w:lineRule="exact" w:line="600"/>
        <w:jc w:val="left"/>
      </w:pPr>
      <w:r>
        <w:rPr>
          <w:rFonts w:ascii="Times New Roman" w:hAnsi="Times New Roman" w:eastAsia="黑体"/>
          <w:b/>
          <w:sz w:val="40"/>
        </w:rPr>
        <w:t>九、结语</w:t>
      </w:r>
    </w:p>
    <w:p>
      <w:pPr>
        <w:spacing w:lineRule="exact" w:line="560" w:before="0" w:after="0"/>
        <w:ind w:firstLine="640"/>
        <w:jc w:val="both"/>
      </w:pPr>
      <w:r>
        <w:rPr>
          <w:rFonts w:ascii="Times New Roman" w:hAnsi="Times New Roman" w:eastAsia="仿宋_GB2312"/>
          <w:b w:val="0"/>
          <w:sz w:val="32"/>
        </w:rPr>
        <w:t>2023—2025年，九江学院全日制应届本科考生临床执业医师资格考试总通过率总体接近全国水平，但连续三年低于全国平均，2024年和2025年百分等级均为D，年度表现和相对位次需要进一步提高。分阶段看，主要改进空间集中在医学综合考试。基础医学和预防医学连续三年低于全国，解剖学为持续性相对薄弱学科，医学免疫学在2025年出现明显下降；基础医学应用层是2025年认知层次中与全国差距最大的领域。</w:t>
      </w:r>
    </w:p>
    <w:p>
      <w:pPr>
        <w:spacing w:lineRule="exact" w:line="560" w:before="0" w:after="0"/>
        <w:ind w:firstLine="640"/>
        <w:jc w:val="both"/>
      </w:pPr>
      <w:r>
        <w:rPr>
          <w:rFonts w:ascii="Times New Roman" w:hAnsi="Times New Roman" w:eastAsia="仿宋_GB2312"/>
          <w:b w:val="0"/>
          <w:sz w:val="32"/>
        </w:rPr>
        <w:t>学校应坚持人才培养目标和毕业要求的主导地位，以临床医学专业认证和持续改进为主线，重点加强考试成绩分析、课程教学与考核评价衔接、基础与临床教学融合、临床实践教学与教学基地质量管理以及学生学业支持。各责任部门应按照年度整改方案推进工作，学校教学指导委员会定期审议进展，校长办公会研究解决重大事项，持续提高临床医学人才培养质量和毕业生岗位胜任力。</w:t>
      </w:r>
    </w:p>
    <w:p>
      <w:pPr>
        <w:pStyle w:val="Heading1"/>
        <w:keepNext/>
        <w:spacing w:before="200" w:after="100" w:lineRule="exact" w:line="600"/>
        <w:jc w:val="left"/>
      </w:pPr>
      <w:r>
        <w:rPr>
          <w:rFonts w:ascii="Times New Roman" w:hAnsi="Times New Roman" w:eastAsia="黑体"/>
          <w:b/>
          <w:sz w:val="40"/>
        </w:rPr>
        <w:t>十、附件：数据口径与分析方法说明</w:t>
      </w:r>
    </w:p>
    <w:p>
      <w:pPr>
        <w:pStyle w:val="Heading2"/>
        <w:keepNext/>
        <w:spacing w:before="120" w:after="40" w:lineRule="exact" w:line="560"/>
        <w:jc w:val="left"/>
      </w:pPr>
      <w:r>
        <w:rPr>
          <w:rFonts w:ascii="Times New Roman" w:hAnsi="Times New Roman" w:eastAsia="黑体"/>
          <w:b/>
          <w:sz w:val="32"/>
        </w:rPr>
        <w:t>1. 分析对象</w:t>
      </w:r>
    </w:p>
    <w:p>
      <w:pPr>
        <w:spacing w:lineRule="exact" w:line="560" w:before="0" w:after="0"/>
        <w:ind w:firstLine="640"/>
        <w:jc w:val="both"/>
      </w:pPr>
      <w:r>
        <w:rPr>
          <w:rFonts w:ascii="Times New Roman" w:hAnsi="Times New Roman" w:eastAsia="仿宋_GB2312"/>
          <w:b w:val="0"/>
          <w:sz w:val="32"/>
        </w:rPr>
        <w:t>本报告以全日制应届本科考生为主要分析对象。国家医学考试中心所称应届本科考生，是指毕业后一年参加考试的本科考生。2023年、2024年和2025年分别对应2022届、2023届和2024届毕业生。全体考生包括应届、非应届及不同学历层次考生，其数据用于呈现学校考试总体情况和毕业后支持需求。</w:t>
      </w:r>
    </w:p>
    <w:p>
      <w:pPr>
        <w:pStyle w:val="Heading2"/>
        <w:keepNext/>
        <w:spacing w:before="120" w:after="40" w:lineRule="exact" w:line="560"/>
        <w:jc w:val="left"/>
      </w:pPr>
      <w:r>
        <w:rPr>
          <w:rFonts w:ascii="Times New Roman" w:hAnsi="Times New Roman" w:eastAsia="黑体"/>
          <w:b/>
          <w:sz w:val="32"/>
        </w:rPr>
        <w:t>2. 数据来源与内容范围</w:t>
      </w:r>
    </w:p>
    <w:p>
      <w:pPr>
        <w:spacing w:lineRule="exact" w:line="560" w:before="0" w:after="0"/>
        <w:ind w:firstLine="640"/>
        <w:jc w:val="both"/>
      </w:pPr>
      <w:r>
        <w:rPr>
          <w:rFonts w:ascii="Times New Roman" w:hAnsi="Times New Roman" w:eastAsia="仿宋_GB2312"/>
          <w:b w:val="0"/>
          <w:sz w:val="32"/>
        </w:rPr>
        <w:t>数据来源为国家医学考试中心提供的2023—2025年《医师资格考试成绩分析报告（临床执业医师）》。报告数据以考生报名信息为基础，医学综合考试成绩包括当年“一试”，未包括“二试”；医学综合考试通过人数按四个单元成绩统计，未包括军事医学、院前急救和儿科加试成绩。</w:t>
      </w:r>
    </w:p>
    <w:p>
      <w:pPr>
        <w:pStyle w:val="Heading2"/>
        <w:keepNext/>
        <w:spacing w:before="120" w:after="40" w:lineRule="exact" w:line="560"/>
        <w:jc w:val="left"/>
      </w:pPr>
      <w:r>
        <w:rPr>
          <w:rFonts w:ascii="Times New Roman" w:hAnsi="Times New Roman" w:eastAsia="黑体"/>
          <w:b/>
          <w:sz w:val="32"/>
        </w:rPr>
        <w:t>3. 通过率计算口径</w:t>
      </w:r>
    </w:p>
    <w:p>
      <w:pPr>
        <w:spacing w:lineRule="exact" w:line="560" w:before="0" w:after="0"/>
        <w:ind w:firstLine="640"/>
        <w:jc w:val="both"/>
      </w:pPr>
      <w:r>
        <w:rPr>
          <w:rFonts w:ascii="Times New Roman" w:hAnsi="Times New Roman" w:eastAsia="仿宋_GB2312"/>
          <w:b w:val="0"/>
          <w:sz w:val="32"/>
        </w:rPr>
        <w:t>实践技能考试通过率＝实践技能考试通过人数÷实践技能考试实考人数。医学综合考试通过率＝医学综合考试通过人数÷医学综合考试实考人数。总通过率＝医学综合考试通过人数÷（实践技能考试实考人数＋实践技能考试免考人数）。三类指标分母不同，分别反映实践技能、医学综合考试和完整考试过程的通过情况。</w:t>
      </w:r>
    </w:p>
    <w:p>
      <w:pPr>
        <w:pStyle w:val="Heading2"/>
        <w:keepNext/>
        <w:spacing w:before="120" w:after="40" w:lineRule="exact" w:line="560"/>
        <w:jc w:val="left"/>
      </w:pPr>
      <w:r>
        <w:rPr>
          <w:rFonts w:ascii="Times New Roman" w:hAnsi="Times New Roman" w:eastAsia="黑体"/>
          <w:b/>
          <w:sz w:val="32"/>
        </w:rPr>
        <w:t>4. 百分等级</w:t>
      </w:r>
    </w:p>
    <w:p>
      <w:pPr>
        <w:spacing w:lineRule="exact" w:line="560" w:before="0" w:after="0"/>
        <w:ind w:firstLine="640"/>
        <w:jc w:val="both"/>
      </w:pPr>
      <w:r>
        <w:rPr>
          <w:rFonts w:ascii="Times New Roman" w:hAnsi="Times New Roman" w:eastAsia="仿宋_GB2312"/>
          <w:b w:val="0"/>
          <w:sz w:val="32"/>
        </w:rPr>
        <w:t>国家医学考试中心将参评学校某项通过率由高到低排列，划分为A、B、C、D、E五个等级，各等级学校数量约占20%。A为前20%，B为20%—40%，C为40%—60%，D为60%—80%，E为后20%。2023年学校报告未提供百分等级，2024年和2025年报告提供了相关等级。</w:t>
      </w:r>
    </w:p>
    <w:p>
      <w:pPr>
        <w:pStyle w:val="Heading2"/>
        <w:keepNext/>
        <w:spacing w:before="120" w:after="40" w:lineRule="exact" w:line="560"/>
        <w:jc w:val="left"/>
      </w:pPr>
      <w:r>
        <w:rPr>
          <w:rFonts w:ascii="Times New Roman" w:hAnsi="Times New Roman" w:eastAsia="黑体"/>
          <w:b/>
          <w:sz w:val="32"/>
        </w:rPr>
        <w:t>5. 知识分类与年度比较</w:t>
      </w:r>
    </w:p>
    <w:p>
      <w:pPr>
        <w:spacing w:lineRule="exact" w:line="560" w:before="0" w:after="0"/>
        <w:ind w:firstLine="640"/>
        <w:jc w:val="both"/>
      </w:pPr>
      <w:r>
        <w:rPr>
          <w:rFonts w:ascii="Times New Roman" w:hAnsi="Times New Roman" w:eastAsia="仿宋_GB2312"/>
          <w:b w:val="0"/>
          <w:sz w:val="32"/>
        </w:rPr>
        <w:t>2023年报告主要按学科呈现掌握率，2024年和2025年进一步按专业知识点、系统、考核要点和认知层次呈现，并新增中医学基础模块。细分知识点的连续比较主要采用2024—2025年数据。2023—2025年国家报告均使用“解剖学”名称，本报告统一采用该名称。</w:t>
      </w:r>
    </w:p>
    <w:p>
      <w:pPr>
        <w:spacing w:lineRule="exact" w:line="560" w:before="0" w:after="0"/>
        <w:ind w:firstLine="640"/>
        <w:jc w:val="both"/>
      </w:pPr>
      <w:r>
        <w:rPr>
          <w:rFonts w:ascii="Times New Roman" w:hAnsi="Times New Roman" w:eastAsia="仿宋_GB2312"/>
          <w:b w:val="0"/>
          <w:sz w:val="32"/>
        </w:rPr>
        <w:t>国家医学考试中心未提供跨年度试题等值量表。年度比较以同期全国差值、百分等级、平均分和连续年度趋势为主要依据，课程和知识点改进效果同时参考校内考核、试题质量、教学实施和学生学习情况。</w:t>
      </w:r>
    </w:p>
    <w:p>
      <w:pPr>
        <w:pStyle w:val="Heading2"/>
        <w:keepNext/>
        <w:spacing w:before="120" w:after="40" w:lineRule="exact" w:line="560"/>
        <w:jc w:val="left"/>
      </w:pPr>
      <w:r>
        <w:rPr>
          <w:rFonts w:ascii="Times New Roman" w:hAnsi="Times New Roman" w:eastAsia="黑体"/>
          <w:b/>
          <w:sz w:val="32"/>
        </w:rPr>
        <w:t>6. 原因分析与改进依据</w:t>
      </w:r>
    </w:p>
    <w:p>
      <w:pPr>
        <w:spacing w:lineRule="exact" w:line="560" w:before="0" w:after="0"/>
        <w:ind w:firstLine="640"/>
        <w:jc w:val="both"/>
      </w:pPr>
      <w:r>
        <w:rPr>
          <w:rFonts w:ascii="Times New Roman" w:hAnsi="Times New Roman" w:eastAsia="仿宋_GB2312"/>
          <w:b w:val="0"/>
          <w:sz w:val="32"/>
        </w:rPr>
        <w:t>考试结果用于确定需要重点关注的模块、学科、知识点和能力层次。具体原因由课程目标与内容、教学方法、试题质量、师资结构、教学基地、学生学习投入和反馈等资料综合确认。整改措施应设置过程指标和结果指标，并通过后续课程评价、临床能力评价和医师资格考试结果检验实施成效。</w:t>
      </w:r>
    </w:p>
    <w:p>
      <w:pPr>
        <w:pStyle w:val="Heading2"/>
        <w:keepNext/>
        <w:spacing w:before="120" w:after="40" w:lineRule="exact" w:line="560"/>
        <w:jc w:val="left"/>
      </w:pPr>
      <w:r>
        <w:rPr>
          <w:rFonts w:ascii="Times New Roman" w:hAnsi="Times New Roman" w:eastAsia="黑体"/>
          <w:b/>
          <w:sz w:val="32"/>
        </w:rPr>
        <w:t>7. 补充数据说明</w:t>
      </w:r>
    </w:p>
    <w:p>
      <w:pPr>
        <w:spacing w:lineRule="exact" w:line="560" w:before="0" w:after="0"/>
        <w:ind w:firstLine="640"/>
        <w:jc w:val="both"/>
      </w:pPr>
      <w:r>
        <w:rPr>
          <w:rFonts w:ascii="Times New Roman" w:hAnsi="Times New Roman" w:eastAsia="仿宋_GB2312"/>
          <w:b w:val="0"/>
          <w:sz w:val="32"/>
        </w:rPr>
        <w:t>2023—2025年非应届考生医学综合考试通过率分别为38.98%、50.20%和45.95%。2025年全日制应届本科考生医学综合考试最低分为100分，学校应进一步完善分数段统计和个案分析。医学综合考试合格分数线为360分，实践技能考试合格分数线为60分。</w:t>
      </w:r>
    </w:p>
    <w:p>
      <w:pPr>
        <w:pStyle w:val="Heading2"/>
        <w:keepNext/>
        <w:spacing w:before="120" w:after="40" w:lineRule="exact" w:line="560"/>
        <w:jc w:val="left"/>
      </w:pPr>
      <w:r>
        <w:rPr>
          <w:rFonts w:ascii="Times New Roman" w:hAnsi="Times New Roman" w:eastAsia="黑体"/>
          <w:b/>
          <w:sz w:val="32"/>
        </w:rPr>
        <w:t>主要资料来源</w:t>
      </w:r>
    </w:p>
    <w:p>
      <w:pPr>
        <w:spacing w:lineRule="exact" w:line="520"/>
        <w:ind w:firstLine="0"/>
      </w:pPr>
      <w:r>
        <w:rPr>
          <w:rFonts w:ascii="Times New Roman" w:hAnsi="Times New Roman" w:eastAsia="仿宋_GB2312"/>
          <w:sz w:val="30"/>
        </w:rPr>
        <w:t>1. 国家医学考试中心：《2023年医师资格考试成绩分析报告（九江学院，临床执业医师）》。</w:t>
      </w:r>
    </w:p>
    <w:p>
      <w:pPr>
        <w:spacing w:lineRule="exact" w:line="520"/>
        <w:ind w:firstLine="0"/>
      </w:pPr>
      <w:r>
        <w:rPr>
          <w:rFonts w:ascii="Times New Roman" w:hAnsi="Times New Roman" w:eastAsia="仿宋_GB2312"/>
          <w:sz w:val="30"/>
        </w:rPr>
        <w:t>2. 国家医学考试中心：《2024年医师资格考试成绩分析报告（九江学院，临床执业医师）》。</w:t>
      </w:r>
    </w:p>
    <w:p>
      <w:pPr>
        <w:spacing w:lineRule="exact" w:line="520"/>
        <w:ind w:firstLine="0"/>
      </w:pPr>
      <w:r>
        <w:rPr>
          <w:rFonts w:ascii="Times New Roman" w:hAnsi="Times New Roman" w:eastAsia="仿宋_GB2312"/>
          <w:sz w:val="30"/>
        </w:rPr>
        <w:t>3. 国家医学考试中心：《2025年医师资格考试成绩分析报告（九江学院，临床执业医师）》。</w:t>
      </w:r>
    </w:p>
    <w:p>
      <w:pPr>
        <w:spacing w:lineRule="exact" w:line="520"/>
        <w:ind w:firstLine="0"/>
      </w:pPr>
      <w:r>
        <w:rPr>
          <w:rFonts w:ascii="Times New Roman" w:hAnsi="Times New Roman" w:eastAsia="仿宋_GB2312"/>
          <w:sz w:val="30"/>
        </w:rPr>
        <w:t>4. 教育部临床医学专业认证工作委员会：《中国本科医学教育标准——临床医学专业（2022版）》。</w:t>
      </w:r>
    </w:p>
    <w:sectPr w:rsidR="00FC693F" w:rsidRPr="0006063C" w:rsidSect="00034616">
      <w:footerReference w:type="default" r:id="rId9"/>
      <w:pgSz w:w="11906" w:h="16838"/>
      <w:pgMar w:top="1474" w:right="1474" w:bottom="1361" w:left="1587" w:header="720" w:footer="720" w:gutter="0"/>
      <w:cols w:space="720"/>
      <w:docGrid w:linePitch="360"/>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Times New Roman" w:hAnsi="Times New Roman" w:eastAsia="宋体"/>
        <w:sz w:val="21"/>
      </w:rPr>
      <w:fldChar w:fldCharType="begin"/>
      <w:instrText xml:space="preserve"> PAGE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Rule="exact" w:line="560" w:after="0"/>
    </w:pPr>
    <w:rPr>
      <w:rFonts w:ascii="Times New Roman" w:hAnsi="Times New Roman" w:eastAsia="仿宋_GB2312"/>
      <w:sz w:val="3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黑体"/>
      <w:b/>
      <w:bCs/>
      <w:color w:val="365F91" w:themeColor="accent1" w:themeShade="BF"/>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黑体"/>
      <w:b/>
      <w:bCs/>
      <w:color w:val="4F81BD" w:themeColor="accent1"/>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楷体_GB2312"/>
      <w:b/>
      <w:bCs/>
      <w:color w:val="4F81BD" w:themeColor="accent1"/>
      <w:sz w:val="3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九江学院2023—2025年临床执业医师资格考试综合分析报告</dc:title>
  <dc:subject>临床医学人才培养质量分析与改进</dc:subject>
  <dc:creator>九江学院医学部</dc:creator>
  <cp:keywords>医师资格考试；临床医学；人才培养质量；持续改进</cp:keywords>
  <dc:description>generated by python-docx</dc:description>
  <cp:lastModifiedBy/>
  <cp:revision>1</cp:revision>
  <dcterms:created xsi:type="dcterms:W3CDTF">2013-12-23T23:15:00Z</dcterms:created>
  <dcterms:modified xsi:type="dcterms:W3CDTF">2013-12-23T23:15:00Z</dcterms:modified>
  <cp:category/>
</cp:coreProperties>
</file>