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BDI Business Portal – Data Backup and Recovery Policy</w:t>
      </w:r>
    </w:p>
    <w:p>
      <w:r>
        <w:t>Effective Date: September 2025</w:t>
      </w:r>
    </w:p>
    <w:p>
      <w:r>
        <w:t>Approved By: Office of the CTO</w:t>
      </w:r>
    </w:p>
    <w:p>
      <w:r>
        <w:t>Applies To: Boundless Devices Inc. (BDI) Business Portal production systems, staging environments, and associated storage</w:t>
      </w:r>
    </w:p>
    <w:p>
      <w:pPr>
        <w:pStyle w:val="Heading2"/>
      </w:pPr>
      <w:r>
        <w:t>1. Purpose</w:t>
      </w:r>
    </w:p>
    <w:p>
      <w:r>
        <w:t>The purpose of this policy is to ensure the confidentiality, integrity, and availability of data within the BDI Business Portal through a defined backup and recovery strategy. This policy establishes standards for protecting both the PostgreSQL database layer (Supabase-managed) and the object storage layer (Supabase Storage), including associated metadata and directory files.</w:t>
      </w:r>
    </w:p>
    <w:p>
      <w:pPr>
        <w:pStyle w:val="Heading2"/>
      </w:pPr>
      <w:r>
        <w:t>2. Scope</w:t>
      </w:r>
    </w:p>
    <w:p>
      <w:r>
        <w:t>This policy applies to all production data residing in the BDI Business Portal, including:</w:t>
        <w:br/>
        <w:t>- PostgreSQL databases and schemas managed through Supabase.</w:t>
        <w:br/>
        <w:t>- Metadata associated with authentication, roles, and policies.</w:t>
        <w:br/>
        <w:t>- Supabase Storage files and directories, including organization documents, uploaded assets, and other binary objects.</w:t>
        <w:br/>
        <w:t>- Infrastructure and CI/CD backups related to Supabase deployments.</w:t>
        <w:br/>
        <w:br/>
        <w:t>This policy does not apply to non-production sandbox environments or developer local instances, except where explicitly designated.</w:t>
      </w:r>
    </w:p>
    <w:p>
      <w:pPr>
        <w:pStyle w:val="Heading2"/>
      </w:pPr>
      <w:r>
        <w:t>3. Backup Components</w:t>
      </w:r>
    </w:p>
    <w:p>
      <w:pPr>
        <w:pStyle w:val="Heading3"/>
      </w:pPr>
      <w:r>
        <w:t>3.1 Database (PostgreSQL – Supabase Managed)</w:t>
      </w:r>
    </w:p>
    <w:p>
      <w:r>
        <w:t>- Point-in-Time Recovery (PITR): Enabled for production, allowing recovery to any point within the retention window.</w:t>
        <w:br/>
        <w:t>- Schema Dumps: Weekly logical backups (`pg_dump`) stored for schema version tracking.</w:t>
        <w:br/>
        <w:t>- Coverage includes tables, views, indexes, RLS policies, functions, triggers, sequences, and authentication metadata.</w:t>
        <w:br/>
        <w:t>- Exclusions: Storage API files are not included in PITR.</w:t>
      </w:r>
    </w:p>
    <w:p>
      <w:pPr>
        <w:pStyle w:val="Heading3"/>
      </w:pPr>
      <w:r>
        <w:t>3.2 Storage Files (Supabase Storage)</w:t>
      </w:r>
    </w:p>
    <w:p>
      <w:r>
        <w:t>- Supabase PITR covers only metadata, not actual file objects.</w:t>
        <w:br/>
        <w:t>- Automated nightly sync via rclone to Google Drive:</w:t>
        <w:br/>
        <w:t xml:space="preserve">  rclone copy supabase:organization-documents \</w:t>
        <w:br/>
        <w:t xml:space="preserve">    gdrive:SupabaseBackups/organization-documents \</w:t>
        <w:br/>
        <w:t xml:space="preserve">    --progress \</w:t>
        <w:br/>
        <w:t xml:space="preserve">    --s3-endpoint https://&lt;project-ref&gt;.storage.supabase.co/storage/v1/s3 \</w:t>
        <w:br/>
        <w:t xml:space="preserve">    --s3-force-path-style \</w:t>
        <w:br/>
        <w:t xml:space="preserve">    --s3-no-check-bucket \</w:t>
        <w:br/>
        <w:t xml:space="preserve">    --disable-http2</w:t>
        <w:br/>
        <w:t>- Retention: Daily (30 days), Weekly (6 months), Monthly (7 years).</w:t>
      </w:r>
    </w:p>
    <w:p>
      <w:pPr>
        <w:pStyle w:val="Heading2"/>
      </w:pPr>
      <w:r>
        <w:t>4. Backup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  <w:tc>
          <w:tcPr>
            <w:tcW w:type="dxa" w:w="2160"/>
          </w:tcPr>
          <w:p>
            <w:r>
              <w:t>Retention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</w:tr>
      <w:tr>
        <w:tc>
          <w:tcPr>
            <w:tcW w:type="dxa" w:w="2160"/>
          </w:tcPr>
          <w:p>
            <w:r>
              <w:t>Database PITR</w:t>
            </w:r>
          </w:p>
        </w:tc>
        <w:tc>
          <w:tcPr>
            <w:tcW w:type="dxa" w:w="2160"/>
          </w:tcPr>
          <w:p>
            <w:r>
              <w:t>Continuous</w:t>
            </w:r>
          </w:p>
        </w:tc>
        <w:tc>
          <w:tcPr>
            <w:tcW w:type="dxa" w:w="2160"/>
          </w:tcPr>
          <w:p>
            <w:r>
              <w:t>14 days (default)</w:t>
            </w:r>
          </w:p>
        </w:tc>
        <w:tc>
          <w:tcPr>
            <w:tcW w:type="dxa" w:w="2160"/>
          </w:tcPr>
          <w:p>
            <w:r>
              <w:t>Supabase physical backups + WAL</w:t>
            </w:r>
          </w:p>
        </w:tc>
      </w:tr>
      <w:tr>
        <w:tc>
          <w:tcPr>
            <w:tcW w:type="dxa" w:w="2160"/>
          </w:tcPr>
          <w:p>
            <w:r>
              <w:t>Schema Dumps</w:t>
            </w:r>
          </w:p>
        </w:tc>
        <w:tc>
          <w:tcPr>
            <w:tcW w:type="dxa" w:w="2160"/>
          </w:tcPr>
          <w:p>
            <w:r>
              <w:t>Weekly</w:t>
            </w:r>
          </w:p>
        </w:tc>
        <w:tc>
          <w:tcPr>
            <w:tcW w:type="dxa" w:w="2160"/>
          </w:tcPr>
          <w:p>
            <w:r>
              <w:t>12 months</w:t>
            </w:r>
          </w:p>
        </w:tc>
        <w:tc>
          <w:tcPr>
            <w:tcW w:type="dxa" w:w="2160"/>
          </w:tcPr>
          <w:p>
            <w:r>
              <w:t>pg_dump via CI/CD</w:t>
            </w:r>
          </w:p>
        </w:tc>
      </w:tr>
      <w:tr>
        <w:tc>
          <w:tcPr>
            <w:tcW w:type="dxa" w:w="2160"/>
          </w:tcPr>
          <w:p>
            <w:r>
              <w:t>Storage Files</w:t>
            </w:r>
          </w:p>
        </w:tc>
        <w:tc>
          <w:tcPr>
            <w:tcW w:type="dxa" w:w="2160"/>
          </w:tcPr>
          <w:p>
            <w:r>
              <w:t>Daily (incremental)</w:t>
            </w:r>
          </w:p>
        </w:tc>
        <w:tc>
          <w:tcPr>
            <w:tcW w:type="dxa" w:w="2160"/>
          </w:tcPr>
          <w:p>
            <w:r>
              <w:t>30 days / 6 months / 7 years</w:t>
            </w:r>
          </w:p>
        </w:tc>
        <w:tc>
          <w:tcPr>
            <w:tcW w:type="dxa" w:w="2160"/>
          </w:tcPr>
          <w:p>
            <w:r>
              <w:t>rclone to Google Drive</w:t>
            </w:r>
          </w:p>
        </w:tc>
      </w:tr>
    </w:tbl>
    <w:p>
      <w:pPr>
        <w:pStyle w:val="Heading2"/>
      </w:pPr>
      <w:r>
        <w:t>5. Recovery Procedures</w:t>
      </w:r>
    </w:p>
    <w:p>
      <w:r>
        <w:t>5.1 Database:</w:t>
        <w:br/>
        <w:t>- Recovery from PITR initiated via Supabase Dashboard.</w:t>
        <w:br/>
        <w:t>- Target timestamp selected within retention window.</w:t>
        <w:br/>
        <w:t>- Post-recovery validation of schema and RLS policies required.</w:t>
        <w:br/>
        <w:br/>
        <w:t>5.2 Storage Files:</w:t>
        <w:br/>
        <w:t>- Restore via reverse rclone sync from Google Drive.</w:t>
        <w:br/>
        <w:t>- Validate against metadata table entries.</w:t>
        <w:br/>
        <w:br/>
        <w:t>5.3 Combined Recovery:</w:t>
        <w:br/>
        <w:t>- Order: Database → Metadata Validation → Storage Restore → Application Rollout.</w:t>
        <w:br/>
        <w:t>- Post-restore audits include checksum verification and database consistency checks.</w:t>
      </w:r>
    </w:p>
    <w:p>
      <w:pPr>
        <w:pStyle w:val="Heading2"/>
      </w:pPr>
      <w:r>
        <w:t>6. Roles and Responsibilities</w:t>
      </w:r>
    </w:p>
    <w:p>
      <w:r>
        <w:t>- CTO: Policy owner.</w:t>
        <w:br/>
        <w:t>- DevOps Lead: Executes and monitors backups.</w:t>
        <w:br/>
        <w:t>- Data Protection Officer: Reviews logs, ensures compliance.</w:t>
        <w:br/>
        <w:t>- Engineering Team: Conducts biannual recovery drills.</w:t>
      </w:r>
    </w:p>
    <w:p>
      <w:pPr>
        <w:pStyle w:val="Heading2"/>
      </w:pPr>
      <w:r>
        <w:t>7. Monitoring and Reporting</w:t>
      </w:r>
    </w:p>
    <w:p>
      <w:r>
        <w:t>- Backup logs aggregated from rclone and Supabase PITR.</w:t>
        <w:br/>
        <w:t>- Failures trigger Slack alerts.</w:t>
        <w:br/>
        <w:t>- Quarterly verification of integrity with test restores.</w:t>
      </w:r>
    </w:p>
    <w:p>
      <w:pPr>
        <w:pStyle w:val="Heading2"/>
      </w:pPr>
      <w:r>
        <w:t>8. Limitations</w:t>
      </w:r>
    </w:p>
    <w:p>
      <w:r>
        <w:t>- PITR does not cover deleted Supabase Storage files, only metadata.</w:t>
        <w:br/>
        <w:t>- Google Drive is primary offsite; secondary provider evaluation ongoing.</w:t>
        <w:br/>
        <w:t>- Large restores may introduce delays.</w:t>
      </w:r>
    </w:p>
    <w:p>
      <w:pPr>
        <w:pStyle w:val="Heading2"/>
      </w:pPr>
      <w:r>
        <w:t>9. Policy Review</w:t>
      </w:r>
    </w:p>
    <w:p>
      <w:r>
        <w:t>This policy will be reviewed annually or upon Supabase platform changes. Updates must be approved by the CTO and documented in the Policy Revision 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