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100"/>
        <w:jc w:val="center"/>
      </w:pPr>
      <w:r>
        <w:rPr>
          <w:rFonts w:ascii="Calibri" w:cs="Calibri" w:eastAsia="Calibri" w:hAnsi="Calibri"/>
          <w:b/>
          <w:bCs/>
          <w:sz w:val="30"/>
          <w:szCs w:val="30"/>
        </w:rPr>
        <w:t xml:space="preserve">TRANSACTION FEASIBILITY REPORT</w:t>
      </w:r>
    </w:p>
    <w:p>
      <w:pPr>
        <w:spacing w:after="40" w:before="40"/>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Date</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31 May 2026</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Reference</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DEAL-2026-A04A</w:t>
            </w:r>
          </w:p>
        </w:tc>
      </w:tr>
    </w:tbl>
    <w:p>
      <w:pPr>
        <w:spacing w:after="40" w:before="40"/>
      </w:pPr>
    </w:p>
    <w:p>
      <w:pPr>
        <w:shd w:fill="E8E8E8" w:color="E8E8E8" w:val="solid"/>
        <w:spacing w:after="150" w:before="300"/>
      </w:pPr>
      <w:r>
        <w:rPr>
          <w:rFonts w:ascii="Calibri" w:cs="Calibri" w:eastAsia="Calibri" w:hAnsi="Calibri"/>
          <w:b/>
          <w:bCs/>
          <w:sz w:val="24"/>
          <w:szCs w:val="24"/>
        </w:rPr>
        <w:t xml:space="preserve">1. EXECUTIVE SUMMARY</w:t>
      </w:r>
    </w:p>
    <w:p>
      <w:pPr>
        <w:spacing w:after="40" w:before="40"/>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dxa" w:w="3600"/>
            <w:tcBorders>
              <w:top w:val="single" w:color="999999" w:sz="1"/>
              <w:left w:val="single" w:color="999999" w:sz="1"/>
              <w:bottom w:val="single" w:color="999999" w:sz="1"/>
              <w:right w:val="single" w:color="999999" w:sz="1"/>
            </w:tcBorders>
            <w:shd w:fill="F2F2F2" w:color="F2F2F2" w:val="solid"/>
            <w:vAlign w:val="center"/>
          </w:tcPr>
          <w:p>
            <w:pPr>
              <w:spacing w:after="60" w:before="60"/>
            </w:pPr>
            <w:r>
              <w:rPr>
                <w:rFonts w:ascii="Calibri" w:cs="Calibri" w:eastAsia="Calibri" w:hAnsi="Calibri"/>
                <w:b/>
                <w:bCs/>
                <w:sz w:val="20"/>
                <w:szCs w:val="20"/>
              </w:rPr>
              <w:t xml:space="preserve">Transaction Overview</w:t>
            </w:r>
          </w:p>
        </w:tc>
        <w:tc>
          <w:tcPr>
            <w:tcW w:type="dxa" w:w="3200"/>
            <w:tcBorders>
              <w:top w:val="single" w:color="999999" w:sz="1"/>
              <w:left w:val="single" w:color="999999" w:sz="1"/>
              <w:bottom w:val="single" w:color="999999" w:sz="1"/>
              <w:right w:val="single" w:color="999999" w:sz="1"/>
            </w:tcBorders>
            <w:shd w:fill="F2F2F2" w:color="F2F2F2" w:val="solid"/>
            <w:vAlign w:val="center"/>
          </w:tcPr>
          <w:p>
            <w:pPr>
              <w:spacing w:after="60" w:before="60"/>
            </w:pPr>
            <w:r>
              <w:rPr>
                <w:rFonts w:ascii="Calibri" w:cs="Calibri" w:eastAsia="Calibri" w:hAnsi="Calibri"/>
                <w:b/>
                <w:bCs/>
                <w:sz w:val="20"/>
                <w:szCs w:val="20"/>
              </w:rPr>
              <w:t xml:space="preserve">Import</w:t>
            </w:r>
          </w:p>
        </w:tc>
        <w:tc>
          <w:tcPr>
            <w:tcW w:type="dxa" w:w="3200"/>
            <w:tcBorders>
              <w:top w:val="single" w:color="999999" w:sz="1"/>
              <w:left w:val="single" w:color="999999" w:sz="1"/>
              <w:bottom w:val="single" w:color="999999" w:sz="1"/>
              <w:right w:val="single" w:color="999999" w:sz="1"/>
            </w:tcBorders>
            <w:shd w:fill="F2F2F2" w:color="F2F2F2" w:val="solid"/>
            <w:vAlign w:val="center"/>
          </w:tcPr>
          <w:p>
            <w:pPr>
              <w:spacing w:after="60" w:before="60"/>
            </w:pPr>
            <w:r>
              <w:rPr>
                <w:rFonts w:ascii="Calibri" w:cs="Calibri" w:eastAsia="Calibri" w:hAnsi="Calibri"/>
                <w:b/>
                <w:bCs/>
                <w:sz w:val="20"/>
                <w:szCs w:val="20"/>
              </w:rPr>
              <w:t xml:space="preserve">Export</w:t>
            </w:r>
          </w:p>
        </w:tc>
      </w:tr>
      <w:tr>
        <w:tc>
          <w:tcPr>
            <w:tcW w:type="dxa" w:w="3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Product</w:t>
            </w:r>
          </w:p>
        </w:tc>
        <w:tc>
          <w:tcPr>
            <w:tcW w:type="dxa" w:w="32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ZZTEST-mptlcjyd</w:t>
            </w:r>
          </w:p>
        </w:tc>
        <w:tc>
          <w:tcPr>
            <w:tcW w:type="dxa" w:w="32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ZZTEST-mptlcjyd</w:t>
            </w:r>
          </w:p>
        </w:tc>
      </w:tr>
      <w:tr>
        <w:tc>
          <w:tcPr>
            <w:tcW w:type="dxa" w:w="3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Origin</w:t>
            </w:r>
          </w:p>
        </w:tc>
        <w:tc>
          <w:tcPr>
            <w:tcW w:type="dxa" w:w="32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Zambia</w:t>
            </w:r>
          </w:p>
        </w:tc>
        <w:tc>
          <w:tcPr>
            <w:tcW w:type="dxa" w:w="32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Zambia</w:t>
            </w:r>
          </w:p>
        </w:tc>
      </w:tr>
      <w:tr>
        <w:tc>
          <w:tcPr>
            <w:tcW w:type="dxa" w:w="3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Destination</w:t>
            </w:r>
          </w:p>
        </w:tc>
        <w:tc>
          <w:tcPr>
            <w:tcW w:type="dxa" w:w="32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c>
          <w:tcPr>
            <w:tcW w:type="dxa" w:w="32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Shanghai</w:t>
            </w:r>
          </w:p>
        </w:tc>
      </w:tr>
      <w:tr>
        <w:tc>
          <w:tcPr>
            <w:tcW w:type="dxa" w:w="3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Quantity</w:t>
            </w:r>
          </w:p>
        </w:tc>
        <w:tc>
          <w:tcPr>
            <w:tcW w:type="dxa" w:w="32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5000 MT</w:t>
            </w:r>
          </w:p>
        </w:tc>
        <w:tc>
          <w:tcPr>
            <w:tcW w:type="dxa" w:w="32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5000 MT</w:t>
            </w:r>
          </w:p>
        </w:tc>
      </w:tr>
      <w:tr>
        <w:tc>
          <w:tcPr>
            <w:tcW w:type="dxa" w:w="3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Price (per Mt)</w:t>
            </w:r>
          </w:p>
        </w:tc>
        <w:tc>
          <w:tcPr>
            <w:tcW w:type="dxa" w:w="32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USD 8,000</w:t>
            </w:r>
          </w:p>
        </w:tc>
        <w:tc>
          <w:tcPr>
            <w:tcW w:type="dxa" w:w="32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USD 9,000</w:t>
            </w:r>
          </w:p>
        </w:tc>
      </w:tr>
      <w:tr>
        <w:tc>
          <w:tcPr>
            <w:tcW w:type="dxa" w:w="3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Contract Value</w:t>
            </w:r>
          </w:p>
        </w:tc>
        <w:tc>
          <w:tcPr>
            <w:tcW w:type="dxa" w:w="32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USD 40,000,000</w:t>
            </w:r>
          </w:p>
        </w:tc>
        <w:tc>
          <w:tcPr>
            <w:tcW w:type="dxa" w:w="32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USD 45,000,000</w:t>
            </w:r>
          </w:p>
        </w:tc>
      </w:tr>
      <w:tr>
        <w:tc>
          <w:tcPr>
            <w:tcW w:type="dxa" w:w="3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Delivery Terms (Incoterms)</w:t>
            </w:r>
          </w:p>
        </w:tc>
        <w:tc>
          <w:tcPr>
            <w:tcW w:type="dxa" w:w="32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FOB</w:t>
            </w:r>
          </w:p>
        </w:tc>
        <w:tc>
          <w:tcPr>
            <w:tcW w:type="dxa" w:w="32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CIF</w:t>
            </w:r>
          </w:p>
        </w:tc>
      </w:tr>
      <w:tr>
        <w:tc>
          <w:tcPr>
            <w:tcW w:type="dxa" w:w="3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Payment Terms</w:t>
            </w:r>
          </w:p>
        </w:tc>
        <w:tc>
          <w:tcPr>
            <w:tcW w:type="dxa" w:w="32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c>
          <w:tcPr>
            <w:tcW w:type="dxa" w:w="32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r>
      <w:tr>
        <w:tc>
          <w:tcPr>
            <w:tcW w:type="dxa" w:w="3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Transaction Duration</w:t>
            </w:r>
          </w:p>
        </w:tc>
        <w:tc>
          <w:tcPr>
            <w:tcW w:type="dxa" w:w="32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c>
          <w:tcPr>
            <w:tcW w:type="dxa" w:w="32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r>
    </w:tbl>
    <w:p>
      <w:pPr>
        <w:spacing w:after="40" w:before="40"/>
      </w:pPr>
    </w:p>
    <w:p>
      <w:pPr>
        <w:shd w:fill="E8E8E8" w:color="E8E8E8" w:val="solid"/>
        <w:spacing w:after="150" w:before="300"/>
      </w:pPr>
      <w:r>
        <w:rPr>
          <w:rFonts w:ascii="Calibri" w:cs="Calibri" w:eastAsia="Calibri" w:hAnsi="Calibri"/>
          <w:b/>
          <w:bCs/>
          <w:sz w:val="24"/>
          <w:szCs w:val="24"/>
        </w:rPr>
        <w:t xml:space="preserve">2. PARTIES TO THE TRANSACTION</w:t>
      </w:r>
    </w:p>
    <w:p>
      <w:pPr>
        <w:spacing w:after="40" w:before="40"/>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dxa" w:w="3600"/>
            <w:tcBorders>
              <w:top w:val="single" w:color="999999" w:sz="1"/>
              <w:left w:val="single" w:color="999999" w:sz="1"/>
              <w:bottom w:val="single" w:color="999999" w:sz="1"/>
              <w:right w:val="single" w:color="999999" w:sz="1"/>
            </w:tcBorders>
            <w:shd w:fill="F2F2F2" w:color="F2F2F2" w:val="solid"/>
            <w:vAlign w:val="center"/>
          </w:tcPr>
          <w:p>
            <w:pPr>
              <w:spacing w:after="60" w:before="60"/>
            </w:pPr>
            <w:r>
              <w:rPr>
                <w:rFonts w:ascii="Calibri" w:cs="Calibri" w:eastAsia="Calibri" w:hAnsi="Calibri"/>
                <w:b/>
                <w:bCs/>
                <w:sz w:val="20"/>
                <w:szCs w:val="20"/>
              </w:rPr>
              <w:t xml:space="preserve">Parties</w:t>
            </w:r>
          </w:p>
        </w:tc>
        <w:tc>
          <w:tcPr>
            <w:tcW w:type="dxa" w:w="3200"/>
            <w:tcBorders>
              <w:top w:val="single" w:color="999999" w:sz="1"/>
              <w:left w:val="single" w:color="999999" w:sz="1"/>
              <w:bottom w:val="single" w:color="999999" w:sz="1"/>
              <w:right w:val="single" w:color="999999" w:sz="1"/>
            </w:tcBorders>
            <w:shd w:fill="F2F2F2" w:color="F2F2F2" w:val="solid"/>
            <w:vAlign w:val="center"/>
          </w:tcPr>
          <w:p>
            <w:pPr>
              <w:spacing w:after="60" w:before="60"/>
            </w:pPr>
            <w:r>
              <w:rPr>
                <w:rFonts w:ascii="Calibri" w:cs="Calibri" w:eastAsia="Calibri" w:hAnsi="Calibri"/>
                <w:b/>
                <w:bCs/>
                <w:sz w:val="20"/>
                <w:szCs w:val="20"/>
              </w:rPr>
              <w:t xml:space="preserve">Import</w:t>
            </w:r>
          </w:p>
        </w:tc>
        <w:tc>
          <w:tcPr>
            <w:tcW w:type="dxa" w:w="3200"/>
            <w:tcBorders>
              <w:top w:val="single" w:color="999999" w:sz="1"/>
              <w:left w:val="single" w:color="999999" w:sz="1"/>
              <w:bottom w:val="single" w:color="999999" w:sz="1"/>
              <w:right w:val="single" w:color="999999" w:sz="1"/>
            </w:tcBorders>
            <w:shd w:fill="F2F2F2" w:color="F2F2F2" w:val="solid"/>
            <w:vAlign w:val="center"/>
          </w:tcPr>
          <w:p>
            <w:pPr>
              <w:spacing w:after="60" w:before="60"/>
            </w:pPr>
            <w:r>
              <w:rPr>
                <w:rFonts w:ascii="Calibri" w:cs="Calibri" w:eastAsia="Calibri" w:hAnsi="Calibri"/>
                <w:b/>
                <w:bCs/>
                <w:sz w:val="20"/>
                <w:szCs w:val="20"/>
              </w:rPr>
              <w:t xml:space="preserve">Export</w:t>
            </w:r>
          </w:p>
        </w:tc>
      </w:tr>
      <w:tr>
        <w:tc>
          <w:tcPr>
            <w:tcW w:type="dxa" w:w="3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Party</w:t>
            </w:r>
          </w:p>
        </w:tc>
        <w:tc>
          <w:tcPr>
            <w:tcW w:type="dxa" w:w="32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Supplier Co D</w:t>
            </w:r>
          </w:p>
        </w:tc>
        <w:tc>
          <w:tcPr>
            <w:tcW w:type="dxa" w:w="32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Final Buyer D</w:t>
            </w:r>
          </w:p>
        </w:tc>
      </w:tr>
      <w:tr>
        <w:tc>
          <w:tcPr>
            <w:tcW w:type="dxa" w:w="3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Intermediary</w:t>
            </w:r>
          </w:p>
        </w:tc>
        <w:tc>
          <w:tcPr>
            <w:tcW w:type="dxa" w:w="32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c>
          <w:tcPr>
            <w:tcW w:type="dxa" w:w="32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r>
    </w:tbl>
    <w:p>
      <w:pPr>
        <w:spacing w:after="40" w:before="40"/>
      </w:pPr>
    </w:p>
    <w:p>
      <w:pPr>
        <w:shd w:fill="E8E8E8" w:color="E8E8E8" w:val="solid"/>
        <w:spacing w:after="150" w:before="300"/>
      </w:pPr>
      <w:r>
        <w:rPr>
          <w:rFonts w:ascii="Calibri" w:cs="Calibri" w:eastAsia="Calibri" w:hAnsi="Calibri"/>
          <w:b/>
          <w:bCs/>
          <w:sz w:val="24"/>
          <w:szCs w:val="24"/>
        </w:rPr>
        <w:t xml:space="preserve">3. FINANCIAL FEASIBILITY</w:t>
      </w:r>
    </w:p>
    <w:p>
      <w:pPr>
        <w:spacing w:after="40" w:before="40"/>
      </w:pPr>
    </w:p>
    <w:p>
      <w:pPr>
        <w:spacing w:after="60" w:before="160"/>
      </w:pPr>
      <w:r>
        <w:rPr>
          <w:rFonts w:ascii="Calibri" w:cs="Calibri" w:eastAsia="Calibri" w:hAnsi="Calibri"/>
          <w:b/>
          <w:bCs/>
          <w:sz w:val="22"/>
          <w:szCs w:val="22"/>
        </w:rPr>
        <w:t xml:space="preserve">Transaction Economics</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dxa" w:w="2800"/>
            <w:tcBorders>
              <w:top w:val="single" w:color="999999" w:sz="1"/>
              <w:left w:val="single" w:color="999999" w:sz="1"/>
              <w:bottom w:val="single" w:color="999999" w:sz="1"/>
              <w:right w:val="single" w:color="999999" w:sz="1"/>
            </w:tcBorders>
            <w:shd w:fill="F2F2F2" w:color="F2F2F2" w:val="solid"/>
            <w:vAlign w:val="center"/>
          </w:tcPr>
          <w:p>
            <w:pPr>
              <w:spacing w:after="60" w:before="60"/>
            </w:pPr>
            <w:r>
              <w:rPr>
                <w:rFonts w:ascii="Calibri" w:cs="Calibri" w:eastAsia="Calibri" w:hAnsi="Calibri"/>
                <w:b/>
                <w:bCs/>
                <w:sz w:val="20"/>
                <w:szCs w:val="20"/>
              </w:rPr>
              <w:t xml:space="preserve">Particulars</w:t>
            </w:r>
          </w:p>
        </w:tc>
        <w:tc>
          <w:tcPr>
            <w:tcW w:type="dxa" w:w="2400"/>
            <w:tcBorders>
              <w:top w:val="single" w:color="999999" w:sz="1"/>
              <w:left w:val="single" w:color="999999" w:sz="1"/>
              <w:bottom w:val="single" w:color="999999" w:sz="1"/>
              <w:right w:val="single" w:color="999999" w:sz="1"/>
            </w:tcBorders>
            <w:shd w:fill="F2F2F2" w:color="F2F2F2" w:val="solid"/>
            <w:vAlign w:val="center"/>
          </w:tcPr>
          <w:p>
            <w:pPr>
              <w:spacing w:after="60" w:before="60"/>
            </w:pPr>
            <w:r>
              <w:rPr>
                <w:rFonts w:ascii="Calibri" w:cs="Calibri" w:eastAsia="Calibri" w:hAnsi="Calibri"/>
                <w:b/>
                <w:bCs/>
                <w:sz w:val="20"/>
                <w:szCs w:val="20"/>
              </w:rPr>
              <w:t xml:space="preserve">Import (USD)</w:t>
            </w:r>
          </w:p>
        </w:tc>
        <w:tc>
          <w:tcPr>
            <w:tcW w:type="dxa" w:w="2400"/>
            <w:tcBorders>
              <w:top w:val="single" w:color="999999" w:sz="1"/>
              <w:left w:val="single" w:color="999999" w:sz="1"/>
              <w:bottom w:val="single" w:color="999999" w:sz="1"/>
              <w:right w:val="single" w:color="999999" w:sz="1"/>
            </w:tcBorders>
            <w:shd w:fill="F2F2F2" w:color="F2F2F2" w:val="solid"/>
            <w:vAlign w:val="center"/>
          </w:tcPr>
          <w:p>
            <w:pPr>
              <w:spacing w:after="60" w:before="60"/>
            </w:pPr>
            <w:r>
              <w:rPr>
                <w:rFonts w:ascii="Calibri" w:cs="Calibri" w:eastAsia="Calibri" w:hAnsi="Calibri"/>
                <w:b/>
                <w:bCs/>
                <w:sz w:val="20"/>
                <w:szCs w:val="20"/>
              </w:rPr>
              <w:t xml:space="preserve">Export (USD)</w:t>
            </w:r>
          </w:p>
        </w:tc>
        <w:tc>
          <w:tcPr>
            <w:tcW w:type="dxa" w:w="2400"/>
            <w:tcBorders>
              <w:top w:val="single" w:color="999999" w:sz="1"/>
              <w:left w:val="single" w:color="999999" w:sz="1"/>
              <w:bottom w:val="single" w:color="999999" w:sz="1"/>
              <w:right w:val="single" w:color="999999" w:sz="1"/>
            </w:tcBorders>
            <w:shd w:fill="F2F2F2" w:color="F2F2F2" w:val="solid"/>
            <w:vAlign w:val="center"/>
          </w:tcPr>
          <w:p>
            <w:pPr>
              <w:spacing w:after="60" w:before="60"/>
            </w:pPr>
            <w:r>
              <w:rPr>
                <w:rFonts w:ascii="Calibri" w:cs="Calibri" w:eastAsia="Calibri" w:hAnsi="Calibri"/>
                <w:b/>
                <w:bCs/>
                <w:sz w:val="20"/>
                <w:szCs w:val="20"/>
              </w:rPr>
              <w:t xml:space="preserve">Total Value (USD)</w:t>
            </w:r>
          </w:p>
        </w:tc>
      </w:tr>
      <w:tr>
        <w:tc>
          <w:tcPr>
            <w:tcW w:type="dxa" w:w="28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Purchase Cost (per mt)</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USD 40,000,000</w:t>
            </w:r>
          </w:p>
        </w:tc>
      </w:tr>
      <w:tr>
        <w:tc>
          <w:tcPr>
            <w:tcW w:type="dxa" w:w="28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Freight Cost (per mt)</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r>
      <w:tr>
        <w:tc>
          <w:tcPr>
            <w:tcW w:type="dxa" w:w="28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Insurance Cost (per mt)</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r>
      <w:tr>
        <w:tc>
          <w:tcPr>
            <w:tcW w:type="dxa" w:w="28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Inspection Cost (per mt)</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r>
      <w:tr>
        <w:tc>
          <w:tcPr>
            <w:tcW w:type="dxa" w:w="28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Banking Cost</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r>
      <w:tr>
        <w:tc>
          <w:tcPr>
            <w:tcW w:type="dxa" w:w="28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Other Cost</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r>
      <w:tr>
        <w:tc>
          <w:tcPr>
            <w:tcW w:type="dxa" w:w="28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Total</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USD 40,000,000</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USD 45,000,000</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r>
      <w:tr>
        <w:tc>
          <w:tcPr>
            <w:tcW w:type="dxa" w:w="28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Gross Profit</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USD 5,000,000</w:t>
            </w:r>
          </w:p>
        </w:tc>
      </w:tr>
      <w:tr>
        <w:tc>
          <w:tcPr>
            <w:tcW w:type="dxa" w:w="28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Net Profit</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r>
    </w:tbl>
    <w:p>
      <w:pPr>
        <w:spacing w:after="40" w:before="40"/>
      </w:pPr>
    </w:p>
    <w:p>
      <w:pPr>
        <w:spacing w:after="60" w:before="160"/>
      </w:pPr>
      <w:r>
        <w:rPr>
          <w:rFonts w:ascii="Calibri" w:cs="Calibri" w:eastAsia="Calibri" w:hAnsi="Calibri"/>
          <w:b/>
          <w:bCs/>
          <w:sz w:val="22"/>
          <w:szCs w:val="22"/>
        </w:rPr>
        <w:t xml:space="preserve">Summary</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6600"/>
            <w:tcBorders>
              <w:top w:val="single" w:color="999999" w:sz="1"/>
              <w:left w:val="single" w:color="999999" w:sz="1"/>
              <w:bottom w:val="single" w:color="999999" w:sz="1"/>
              <w:right w:val="single" w:color="999999" w:sz="1"/>
            </w:tcBorders>
            <w:shd w:fill="F2F2F2" w:color="F2F2F2" w:val="solid"/>
            <w:vAlign w:val="center"/>
          </w:tcPr>
          <w:p>
            <w:pPr>
              <w:spacing w:after="60" w:before="60"/>
            </w:pPr>
            <w:r>
              <w:rPr>
                <w:rFonts w:ascii="Calibri" w:cs="Calibri" w:eastAsia="Calibri" w:hAnsi="Calibri"/>
                <w:b/>
                <w:bCs/>
                <w:sz w:val="20"/>
                <w:szCs w:val="20"/>
              </w:rPr>
              <w:t xml:space="preserve">Particulars</w:t>
            </w:r>
          </w:p>
        </w:tc>
        <w:tc>
          <w:tcPr>
            <w:tcW w:type="dxa" w:w="3400"/>
            <w:tcBorders>
              <w:top w:val="single" w:color="999999" w:sz="1"/>
              <w:left w:val="single" w:color="999999" w:sz="1"/>
              <w:bottom w:val="single" w:color="999999" w:sz="1"/>
              <w:right w:val="single" w:color="999999" w:sz="1"/>
            </w:tcBorders>
            <w:shd w:fill="F2F2F2" w:color="F2F2F2" w:val="solid"/>
            <w:vAlign w:val="center"/>
          </w:tcPr>
          <w:p>
            <w:pPr>
              <w:spacing w:after="60" w:before="60"/>
            </w:pPr>
            <w:r>
              <w:rPr>
                <w:rFonts w:ascii="Calibri" w:cs="Calibri" w:eastAsia="Calibri" w:hAnsi="Calibri"/>
                <w:b/>
                <w:bCs/>
                <w:sz w:val="20"/>
                <w:szCs w:val="20"/>
              </w:rPr>
              <w:t xml:space="preserve">Value</w:t>
            </w:r>
          </w:p>
        </w:tc>
      </w:tr>
      <w:tr>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Gross Profit</w:t>
            </w:r>
          </w:p>
        </w:tc>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USD 5,000,000</w:t>
            </w:r>
          </w:p>
        </w:tc>
      </w:tr>
      <w:tr>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Net Profit</w:t>
            </w:r>
          </w:p>
        </w:tc>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r>
      <w:tr>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Import Total Cost</w:t>
            </w:r>
          </w:p>
        </w:tc>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USD 40,000,000</w:t>
            </w:r>
          </w:p>
        </w:tc>
      </w:tr>
      <w:tr>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Export Total Cost</w:t>
            </w:r>
          </w:p>
        </w:tc>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USD 45,000,000</w:t>
            </w:r>
          </w:p>
        </w:tc>
      </w:tr>
      <w:tr>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Gross Margin</w:t>
            </w:r>
          </w:p>
        </w:tc>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11.1%</w:t>
            </w:r>
          </w:p>
        </w:tc>
      </w:tr>
      <w:tr>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ROI</w:t>
            </w:r>
          </w:p>
        </w:tc>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r>
      <w:tr>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Breakeven Analysis</w:t>
            </w:r>
          </w:p>
        </w:tc>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r>
    </w:tbl>
    <w:p>
      <w:pPr>
        <w:spacing w:after="40" w:before="40"/>
      </w:pPr>
    </w:p>
    <w:p>
      <w:pPr>
        <w:spacing w:after="60" w:before="160"/>
      </w:pPr>
      <w:r>
        <w:rPr>
          <w:rFonts w:ascii="Calibri" w:cs="Calibri" w:eastAsia="Calibri" w:hAnsi="Calibri"/>
          <w:b/>
          <w:bCs/>
          <w:sz w:val="22"/>
          <w:szCs w:val="22"/>
        </w:rPr>
        <w:t xml:space="preserve">Conclusion</w:t>
      </w:r>
    </w:p>
    <w:p>
      <w:pPr>
        <w:spacing w:after="40" w:before="40"/>
      </w:pPr>
      <w:r>
        <w:rPr>
          <w:rFonts w:ascii="Calibri" w:cs="Calibri" w:eastAsia="Calibri" w:hAnsi="Calibri"/>
          <w:sz w:val="20"/>
          <w:szCs w:val="20"/>
        </w:rPr>
        <w:t xml:space="preserve">[ ] Financially Attractive    [ ] Marginally Viable    [ ] Not Attractive</w:t>
      </w:r>
    </w:p>
    <w:p>
      <w:pPr>
        <w:spacing w:after="40" w:before="40"/>
      </w:pPr>
    </w:p>
    <w:p>
      <w:pPr>
        <w:shd w:fill="E8E8E8" w:color="E8E8E8" w:val="solid"/>
        <w:spacing w:after="150" w:before="300"/>
      </w:pPr>
      <w:r>
        <w:rPr>
          <w:rFonts w:ascii="Calibri" w:cs="Calibri" w:eastAsia="Calibri" w:hAnsi="Calibri"/>
          <w:b/>
          <w:bCs/>
          <w:sz w:val="24"/>
          <w:szCs w:val="24"/>
        </w:rPr>
        <w:t xml:space="preserve">6. TRADE FINANCE FEASIBILITY</w:t>
      </w:r>
    </w:p>
    <w:p>
      <w:pPr>
        <w:spacing w:after="40" w:before="40"/>
      </w:pPr>
    </w:p>
    <w:p>
      <w:pPr>
        <w:spacing w:after="60" w:before="160"/>
      </w:pPr>
      <w:r>
        <w:rPr>
          <w:rFonts w:ascii="Calibri" w:cs="Calibri" w:eastAsia="Calibri" w:hAnsi="Calibri"/>
          <w:b/>
          <w:bCs/>
          <w:sz w:val="22"/>
          <w:szCs w:val="22"/>
        </w:rPr>
        <w:t xml:space="preserve">Proposed Banking Structure</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Possible Instruments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Letter of Credit (LC), Standby Letter of Credit (SBLC), Documentary Collection, Bank Guarantee, Performance Bond, Back-to-Back LC, Deferred Payment LC</w:t>
            </w:r>
          </w:p>
        </w:tc>
      </w:tr>
    </w:tbl>
    <w:p>
      <w:pPr>
        <w:spacing w:after="40" w:before="40"/>
      </w:pPr>
    </w:p>
    <w:p>
      <w:pPr>
        <w:spacing w:after="60" w:before="160"/>
      </w:pPr>
      <w:r>
        <w:rPr>
          <w:rFonts w:ascii="Calibri" w:cs="Calibri" w:eastAsia="Calibri" w:hAnsi="Calibri"/>
          <w:b/>
          <w:bCs/>
          <w:sz w:val="22"/>
          <w:szCs w:val="22"/>
        </w:rPr>
        <w:t xml:space="preserve">Banking Assessment</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Buyer Bank</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Buyer Bank Rating</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Seller Bank</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Seller Bank Rating</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pacing w:after="60" w:before="160"/>
      </w:pPr>
      <w:r>
        <w:rPr>
          <w:rFonts w:ascii="Calibri" w:cs="Calibri" w:eastAsia="Calibri" w:hAnsi="Calibri"/>
          <w:b/>
          <w:bCs/>
          <w:sz w:val="22"/>
          <w:szCs w:val="22"/>
        </w:rPr>
        <w:t xml:space="preserve">Financing Requirement</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Working Capital Required</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Financing Period</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Expected Yield</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pacing w:after="60" w:before="160"/>
      </w:pPr>
      <w:r>
        <w:rPr>
          <w:rFonts w:ascii="Calibri" w:cs="Calibri" w:eastAsia="Calibri" w:hAnsi="Calibri"/>
          <w:b/>
          <w:bCs/>
          <w:sz w:val="22"/>
          <w:szCs w:val="22"/>
        </w:rPr>
        <w:t xml:space="preserve">Conclusion</w:t>
      </w:r>
    </w:p>
    <w:p>
      <w:pPr>
        <w:spacing w:after="40" w:before="40"/>
      </w:pPr>
      <w:r>
        <w:rPr>
          <w:rFonts w:ascii="Calibri" w:cs="Calibri" w:eastAsia="Calibri" w:hAnsi="Calibri"/>
          <w:sz w:val="20"/>
          <w:szCs w:val="20"/>
        </w:rPr>
        <w:t xml:space="preserve">[ ] Bankable    [ ] Bankable with Conditions    [ ] Not Bankable</w:t>
      </w:r>
    </w:p>
    <w:p>
      <w:pPr>
        <w:spacing w:after="40" w:before="40"/>
      </w:pPr>
    </w:p>
    <w:p>
      <w:pPr>
        <w:shd w:fill="E8E8E8" w:color="E8E8E8" w:val="solid"/>
        <w:spacing w:after="150" w:before="300"/>
      </w:pPr>
      <w:r>
        <w:rPr>
          <w:rFonts w:ascii="Calibri" w:cs="Calibri" w:eastAsia="Calibri" w:hAnsi="Calibri"/>
          <w:b/>
          <w:bCs/>
          <w:sz w:val="24"/>
          <w:szCs w:val="24"/>
        </w:rPr>
        <w:t xml:space="preserve">7. LOGISTICS FEASIBILITY</w:t>
      </w:r>
    </w:p>
    <w:p>
      <w:pPr>
        <w:spacing w:after="40" w:before="40"/>
      </w:pPr>
    </w:p>
    <w:p>
      <w:pPr>
        <w:spacing w:after="60" w:before="160"/>
      </w:pPr>
      <w:r>
        <w:rPr>
          <w:rFonts w:ascii="Calibri" w:cs="Calibri" w:eastAsia="Calibri" w:hAnsi="Calibri"/>
          <w:b/>
          <w:bCs/>
          <w:sz w:val="22"/>
          <w:szCs w:val="22"/>
        </w:rPr>
        <w:t xml:space="preserve">Transportation</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Loading Port</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Dar es Salaam</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Discharge Port</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Shanghai</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Shipping Route</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Transit Time</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pacing w:after="60" w:before="160"/>
      </w:pPr>
      <w:r>
        <w:rPr>
          <w:rFonts w:ascii="Calibri" w:cs="Calibri" w:eastAsia="Calibri" w:hAnsi="Calibri"/>
          <w:b/>
          <w:bCs/>
          <w:sz w:val="22"/>
          <w:szCs w:val="22"/>
        </w:rPr>
        <w:t xml:space="preserve">Infrastructure Assessment</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Port Capacity</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Vessel Availability</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Storage Facilities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Inland Transportation</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pacing w:after="60" w:before="160"/>
      </w:pPr>
      <w:r>
        <w:rPr>
          <w:rFonts w:ascii="Calibri" w:cs="Calibri" w:eastAsia="Calibri" w:hAnsi="Calibri"/>
          <w:b/>
          <w:bCs/>
          <w:sz w:val="22"/>
          <w:szCs w:val="22"/>
        </w:rPr>
        <w:t xml:space="preserve">Risks</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Congestion</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Weather</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Political Disruptions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Sanctions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pacing w:after="60" w:before="160"/>
      </w:pPr>
      <w:r>
        <w:rPr>
          <w:rFonts w:ascii="Calibri" w:cs="Calibri" w:eastAsia="Calibri" w:hAnsi="Calibri"/>
          <w:b/>
          <w:bCs/>
          <w:sz w:val="22"/>
          <w:szCs w:val="22"/>
        </w:rPr>
        <w:t xml:space="preserve">Conclusion</w:t>
      </w:r>
    </w:p>
    <w:p>
      <w:pPr>
        <w:spacing w:after="40" w:before="40"/>
      </w:pPr>
      <w:r>
        <w:rPr>
          <w:rFonts w:ascii="Calibri" w:cs="Calibri" w:eastAsia="Calibri" w:hAnsi="Calibri"/>
          <w:sz w:val="20"/>
          <w:szCs w:val="20"/>
        </w:rPr>
        <w:t xml:space="preserve">[ ] Logistically Feasible    [ ] Requires Mitigation    [ ] Not Feasible</w:t>
      </w:r>
    </w:p>
    <w:p>
      <w:pPr>
        <w:spacing w:after="40" w:before="40"/>
      </w:pPr>
    </w:p>
    <w:p>
      <w:pPr>
        <w:shd w:fill="E8E8E8" w:color="E8E8E8" w:val="solid"/>
        <w:spacing w:after="150" w:before="300"/>
      </w:pPr>
      <w:r>
        <w:rPr>
          <w:rFonts w:ascii="Calibri" w:cs="Calibri" w:eastAsia="Calibri" w:hAnsi="Calibri"/>
          <w:b/>
          <w:bCs/>
          <w:sz w:val="24"/>
          <w:szCs w:val="24"/>
        </w:rPr>
        <w:t xml:space="preserve">8. LEGAL &amp; COMPLIANCE REVIEW</w:t>
      </w:r>
    </w:p>
    <w:p>
      <w:pPr>
        <w:spacing w:after="40" w:before="40"/>
      </w:pPr>
    </w:p>
    <w:p>
      <w:pPr>
        <w:spacing w:after="60" w:before="160"/>
      </w:pPr>
      <w:r>
        <w:rPr>
          <w:rFonts w:ascii="Calibri" w:cs="Calibri" w:eastAsia="Calibri" w:hAnsi="Calibri"/>
          <w:b/>
          <w:bCs/>
          <w:sz w:val="22"/>
          <w:szCs w:val="22"/>
        </w:rPr>
        <w:t xml:space="preserve">Corporate Due Diligence</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Corporate Registration</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Beneficial Ownership</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Trade Licenses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Authority of Signatories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pacing w:after="60" w:before="160"/>
      </w:pPr>
      <w:r>
        <w:rPr>
          <w:rFonts w:ascii="Calibri" w:cs="Calibri" w:eastAsia="Calibri" w:hAnsi="Calibri"/>
          <w:b/>
          <w:bCs/>
          <w:sz w:val="22"/>
          <w:szCs w:val="22"/>
        </w:rPr>
        <w:t xml:space="preserve">AML/KYC Review</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Sanctions Screening</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PEP Screening</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Adverse Media Search</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Ultimate Beneficial Owner Verification</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pacing w:after="60" w:before="160"/>
      </w:pPr>
      <w:r>
        <w:rPr>
          <w:rFonts w:ascii="Calibri" w:cs="Calibri" w:eastAsia="Calibri" w:hAnsi="Calibri"/>
          <w:b/>
          <w:bCs/>
          <w:sz w:val="22"/>
          <w:szCs w:val="22"/>
        </w:rPr>
        <w:t xml:space="preserve">Contract Review</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SPA</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Performance Bond</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LC Terms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Arbitration Clauses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pacing w:after="60" w:before="160"/>
      </w:pPr>
      <w:r>
        <w:rPr>
          <w:rFonts w:ascii="Calibri" w:cs="Calibri" w:eastAsia="Calibri" w:hAnsi="Calibri"/>
          <w:b/>
          <w:bCs/>
          <w:sz w:val="22"/>
          <w:szCs w:val="22"/>
        </w:rPr>
        <w:t xml:space="preserve">Conclusion</w:t>
      </w:r>
    </w:p>
    <w:p>
      <w:pPr>
        <w:spacing w:after="40" w:before="40"/>
      </w:pPr>
      <w:r>
        <w:rPr>
          <w:rFonts w:ascii="Calibri" w:cs="Calibri" w:eastAsia="Calibri" w:hAnsi="Calibri"/>
          <w:sz w:val="20"/>
          <w:szCs w:val="20"/>
        </w:rPr>
        <w:t xml:space="preserve">[ ] Compliant    [ ] Additional Review Required    [ ] High Risk</w:t>
      </w:r>
    </w:p>
    <w:p>
      <w:pPr>
        <w:spacing w:after="40" w:before="40"/>
      </w:pPr>
    </w:p>
    <w:p>
      <w:pPr>
        <w:shd w:fill="E8E8E8" w:color="E8E8E8" w:val="solid"/>
        <w:spacing w:after="150" w:before="300"/>
      </w:pPr>
      <w:r>
        <w:rPr>
          <w:rFonts w:ascii="Calibri" w:cs="Calibri" w:eastAsia="Calibri" w:hAnsi="Calibri"/>
          <w:b/>
          <w:bCs/>
          <w:sz w:val="24"/>
          <w:szCs w:val="24"/>
        </w:rPr>
        <w:t xml:space="preserve">9. RISK ASSESSMENT</w:t>
      </w:r>
    </w:p>
    <w:p>
      <w:pPr>
        <w:spacing w:after="40" w:before="40"/>
      </w:pPr>
    </w:p>
    <w:p>
      <w:pPr>
        <w:spacing w:after="60" w:before="160"/>
      </w:pPr>
      <w:r>
        <w:rPr>
          <w:rFonts w:ascii="Calibri" w:cs="Calibri" w:eastAsia="Calibri" w:hAnsi="Calibri"/>
          <w:b/>
          <w:bCs/>
          <w:sz w:val="22"/>
          <w:szCs w:val="22"/>
        </w:rPr>
        <w:t xml:space="preserve">Commercial Risks</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Supplier Default</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Buyer Default</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Quality Disputes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pacing w:after="60" w:before="160"/>
      </w:pPr>
      <w:r>
        <w:rPr>
          <w:rFonts w:ascii="Calibri" w:cs="Calibri" w:eastAsia="Calibri" w:hAnsi="Calibri"/>
          <w:b/>
          <w:bCs/>
          <w:sz w:val="22"/>
          <w:szCs w:val="22"/>
        </w:rPr>
        <w:t xml:space="preserve">Financial Risks</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Currency Risk</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Payment Risk</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Funding Risk</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pacing w:after="60" w:before="160"/>
      </w:pPr>
      <w:r>
        <w:rPr>
          <w:rFonts w:ascii="Calibri" w:cs="Calibri" w:eastAsia="Calibri" w:hAnsi="Calibri"/>
          <w:b/>
          <w:bCs/>
          <w:sz w:val="22"/>
          <w:szCs w:val="22"/>
        </w:rPr>
        <w:t xml:space="preserve">Political Risks</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Export Restrictions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Sanctions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Government Intervention</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pacing w:after="60" w:before="160"/>
      </w:pPr>
      <w:r>
        <w:rPr>
          <w:rFonts w:ascii="Calibri" w:cs="Calibri" w:eastAsia="Calibri" w:hAnsi="Calibri"/>
          <w:b/>
          <w:bCs/>
          <w:sz w:val="22"/>
          <w:szCs w:val="22"/>
        </w:rPr>
        <w:t xml:space="preserve">Operational Risks</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Shipment Delay</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Documentation Errors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Force Majeure</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pacing w:after="60" w:before="160"/>
      </w:pPr>
      <w:r>
        <w:rPr>
          <w:rFonts w:ascii="Calibri" w:cs="Calibri" w:eastAsia="Calibri" w:hAnsi="Calibri"/>
          <w:b/>
          <w:bCs/>
          <w:sz w:val="22"/>
          <w:szCs w:val="22"/>
        </w:rPr>
        <w:t xml:space="preserve">Risk Rating</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6600"/>
            <w:tcBorders>
              <w:top w:val="single" w:color="999999" w:sz="1"/>
              <w:left w:val="single" w:color="999999" w:sz="1"/>
              <w:bottom w:val="single" w:color="999999" w:sz="1"/>
              <w:right w:val="single" w:color="999999" w:sz="1"/>
            </w:tcBorders>
            <w:shd w:fill="F2F2F2" w:color="F2F2F2" w:val="solid"/>
            <w:vAlign w:val="center"/>
          </w:tcPr>
          <w:p>
            <w:pPr>
              <w:spacing w:after="60" w:before="60"/>
            </w:pPr>
            <w:r>
              <w:rPr>
                <w:rFonts w:ascii="Calibri" w:cs="Calibri" w:eastAsia="Calibri" w:hAnsi="Calibri"/>
                <w:b/>
                <w:bCs/>
                <w:sz w:val="20"/>
                <w:szCs w:val="20"/>
              </w:rPr>
              <w:t xml:space="preserve">Risk Category</w:t>
            </w:r>
          </w:p>
        </w:tc>
        <w:tc>
          <w:tcPr>
            <w:tcW w:type="dxa" w:w="3400"/>
            <w:tcBorders>
              <w:top w:val="single" w:color="999999" w:sz="1"/>
              <w:left w:val="single" w:color="999999" w:sz="1"/>
              <w:bottom w:val="single" w:color="999999" w:sz="1"/>
              <w:right w:val="single" w:color="999999" w:sz="1"/>
            </w:tcBorders>
            <w:shd w:fill="F2F2F2" w:color="F2F2F2" w:val="solid"/>
            <w:vAlign w:val="center"/>
          </w:tcPr>
          <w:p>
            <w:pPr>
              <w:spacing w:after="60" w:before="60"/>
            </w:pPr>
            <w:r>
              <w:rPr>
                <w:rFonts w:ascii="Calibri" w:cs="Calibri" w:eastAsia="Calibri" w:hAnsi="Calibri"/>
                <w:b/>
                <w:bCs/>
                <w:sz w:val="20"/>
                <w:szCs w:val="20"/>
              </w:rPr>
              <w:t xml:space="preserve">Rating</w:t>
            </w:r>
          </w:p>
        </w:tc>
      </w:tr>
      <w:tr>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Commercial</w:t>
            </w:r>
          </w:p>
        </w:tc>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r>
      <w:tr>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Financial</w:t>
            </w:r>
          </w:p>
        </w:tc>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r>
      <w:tr>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Operational</w:t>
            </w:r>
          </w:p>
        </w:tc>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r>
      <w:tr>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Political</w:t>
            </w:r>
          </w:p>
        </w:tc>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r>
      <w:tr>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Compliance</w:t>
            </w:r>
          </w:p>
        </w:tc>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r>
    </w:tbl>
    <w:p>
      <w:pPr>
        <w:spacing w:after="40" w:before="40"/>
      </w:pPr>
    </w:p>
    <w:p>
      <w:pPr>
        <w:spacing w:after="60" w:before="160"/>
      </w:pPr>
      <w:r>
        <w:rPr>
          <w:rFonts w:ascii="Calibri" w:cs="Calibri" w:eastAsia="Calibri" w:hAnsi="Calibri"/>
          <w:b/>
          <w:bCs/>
          <w:sz w:val="22"/>
          <w:szCs w:val="22"/>
        </w:rPr>
        <w:t xml:space="preserve">Overall Risk Rating</w:t>
      </w:r>
    </w:p>
    <w:p>
      <w:pPr>
        <w:spacing w:after="40" w:before="40"/>
      </w:pPr>
      <w:r>
        <w:rPr>
          <w:rFonts w:ascii="Calibri" w:cs="Calibri" w:eastAsia="Calibri" w:hAnsi="Calibri"/>
          <w:sz w:val="20"/>
          <w:szCs w:val="20"/>
        </w:rPr>
        <w:t xml:space="preserve">[ ] Low    [ ] Medium    [ ] High</w:t>
      </w:r>
    </w:p>
    <w:p>
      <w:pPr>
        <w:spacing w:after="40" w:before="40"/>
      </w:pPr>
    </w:p>
    <w:p>
      <w:pPr>
        <w:shd w:fill="E8E8E8" w:color="E8E8E8" w:val="solid"/>
        <w:spacing w:after="150" w:before="300"/>
      </w:pPr>
      <w:r>
        <w:rPr>
          <w:rFonts w:ascii="Calibri" w:cs="Calibri" w:eastAsia="Calibri" w:hAnsi="Calibri"/>
          <w:b/>
          <w:bCs/>
          <w:sz w:val="24"/>
          <w:szCs w:val="24"/>
        </w:rPr>
        <w:t xml:space="preserve">10. SECURITY STRUCTURE</w:t>
      </w:r>
    </w:p>
    <w:p>
      <w:pPr>
        <w:spacing w:after="40" w:before="40"/>
      </w:pPr>
    </w:p>
    <w:p>
      <w:pPr>
        <w:spacing w:after="60" w:before="160"/>
      </w:pPr>
      <w:r>
        <w:rPr>
          <w:rFonts w:ascii="Calibri" w:cs="Calibri" w:eastAsia="Calibri" w:hAnsi="Calibri"/>
          <w:b/>
          <w:bCs/>
          <w:sz w:val="22"/>
          <w:szCs w:val="22"/>
        </w:rPr>
        <w:t xml:space="preserve">Available Security</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Corporate Guarantee</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Personal Guarantee</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Post-Dated Cheques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Performance Bond</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SBLC</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Bank Guarantee</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Escrow Arrangement</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pacing w:after="60" w:before="160"/>
      </w:pPr>
      <w:r>
        <w:rPr>
          <w:rFonts w:ascii="Calibri" w:cs="Calibri" w:eastAsia="Calibri" w:hAnsi="Calibri"/>
          <w:b/>
          <w:bCs/>
          <w:sz w:val="22"/>
          <w:szCs w:val="22"/>
        </w:rPr>
        <w:t xml:space="preserve">Adequacy Assessment</w:t>
      </w:r>
    </w:p>
    <w:p>
      <w:pPr>
        <w:spacing w:after="40" w:before="40"/>
      </w:pPr>
      <w:r>
        <w:rPr>
          <w:rFonts w:ascii="Calibri" w:cs="Calibri" w:eastAsia="Calibri" w:hAnsi="Calibri"/>
          <w:sz w:val="20"/>
          <w:szCs w:val="20"/>
        </w:rPr>
        <w:t xml:space="preserve">[ ] Adequate    [ ] Partially Adequate    [ ] Inadequate</w:t>
      </w:r>
    </w:p>
    <w:p>
      <w:pPr>
        <w:spacing w:after="40" w:before="40"/>
      </w:pPr>
    </w:p>
    <w:p>
      <w:pPr>
        <w:shd w:fill="E8E8E8" w:color="E8E8E8" w:val="solid"/>
        <w:spacing w:after="150" w:before="300"/>
      </w:pPr>
      <w:r>
        <w:rPr>
          <w:rFonts w:ascii="Calibri" w:cs="Calibri" w:eastAsia="Calibri" w:hAnsi="Calibri"/>
          <w:b/>
          <w:bCs/>
          <w:sz w:val="24"/>
          <w:szCs w:val="24"/>
        </w:rPr>
        <w:t xml:space="preserve">11. OVERALL FEASIBILITY CONCLUSION</w:t>
      </w:r>
    </w:p>
    <w:p>
      <w:pPr>
        <w:spacing w:after="40" w:before="40"/>
      </w:pPr>
    </w:p>
    <w:p>
      <w:pPr>
        <w:spacing w:after="60" w:before="160"/>
      </w:pPr>
      <w:r>
        <w:rPr>
          <w:rFonts w:ascii="Calibri" w:cs="Calibri" w:eastAsia="Calibri" w:hAnsi="Calibri"/>
          <w:b/>
          <w:bCs/>
          <w:sz w:val="22"/>
          <w:szCs w:val="22"/>
        </w:rPr>
        <w:t xml:space="preserve">Final Assessment</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Commercial Feasibility</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 ] Yes    [ ] No</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Financial Feasibility</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 ] Yes    [ ] No</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Banking Feasibility</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 ] Yes    [ ] No</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Operational Feasibility</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 ] Yes    [ ] No</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Compliance Feasibility</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 ] Yes    [ ] No</w:t>
            </w:r>
          </w:p>
        </w:tc>
      </w:tr>
    </w:tbl>
    <w:p>
      <w:pPr>
        <w:spacing w:after="40" w:before="40"/>
      </w:pPr>
    </w:p>
    <w:p>
      <w:pPr>
        <w:spacing w:after="60" w:before="160"/>
      </w:pPr>
      <w:r>
        <w:rPr>
          <w:rFonts w:ascii="Calibri" w:cs="Calibri" w:eastAsia="Calibri" w:hAnsi="Calibri"/>
          <w:b/>
          <w:bCs/>
          <w:sz w:val="22"/>
          <w:szCs w:val="22"/>
        </w:rPr>
        <w:t xml:space="preserve">Recommendation</w:t>
      </w:r>
    </w:p>
    <w:p>
      <w:pPr>
        <w:spacing w:after="40" w:before="40"/>
      </w:pPr>
      <w:r>
        <w:rPr>
          <w:rFonts w:ascii="Calibri" w:cs="Calibri" w:eastAsia="Calibri" w:hAnsi="Calibri"/>
          <w:sz w:val="20"/>
          <w:szCs w:val="20"/>
        </w:rPr>
        <w:t xml:space="preserve">[ ] Proceed Immediately    [ ] Proceed Subject to Conditions    [ ] Re-Structure Transaction    [ ] Do Not Proceed</w:t>
      </w:r>
    </w:p>
    <w:p>
      <w:pPr>
        <w:spacing w:after="40" w:before="40"/>
      </w:pPr>
    </w:p>
    <w:p>
      <w:pPr>
        <w:spacing w:after="60" w:before="160"/>
      </w:pPr>
      <w:r>
        <w:rPr>
          <w:rFonts w:ascii="Calibri" w:cs="Calibri" w:eastAsia="Calibri" w:hAnsi="Calibri"/>
          <w:b/>
          <w:bCs/>
          <w:sz w:val="22"/>
          <w:szCs w:val="22"/>
        </w:rPr>
        <w:t xml:space="preserve">Conditions Precedent (if applicable)</w:t>
      </w:r>
    </w:p>
    <w:p>
      <w:pPr>
        <w:spacing w:after="40" w:before="40"/>
      </w:pPr>
      <w:r>
        <w:rPr>
          <w:rFonts w:ascii="Calibri" w:cs="Calibri" w:eastAsia="Calibri" w:hAnsi="Calibri"/>
          <w:sz w:val="20"/>
          <w:szCs w:val="20"/>
        </w:rPr>
        <w:t xml:space="preserve">—</w:t>
      </w:r>
    </w:p>
    <w:p>
      <w:pPr>
        <w:spacing w:after="40" w:before="40"/>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Prepared By</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Date</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31 May 2026</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Approved By</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Date</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pacing w:before="600"/>
      </w:pPr>
    </w:p>
    <w:p>
      <w:pPr>
        <w:pBdr>
          <w:top w:val="single" w:color="999999" w:sz="1"/>
        </w:pBdr>
        <w:spacing w:after="80" w:before="200"/>
      </w:pPr>
    </w:p>
    <w:p>
      <w:pPr>
        <w:spacing w:after="60"/>
      </w:pPr>
      <w:r>
        <w:rPr>
          <w:rFonts w:ascii="Calibri" w:cs="Calibri" w:eastAsia="Calibri" w:hAnsi="Calibri"/>
          <w:i/>
          <w:iCs/>
          <w:color w:val="666666"/>
          <w:sz w:val="14"/>
          <w:szCs w:val="14"/>
        </w:rPr>
        <w:t xml:space="preserve">DISCLAIMER: The information contained in this document may be privileged and/or confidential, and is intended only for the use of the person to whom it is addressed. If the reader of this message is not the intended recipient (or such recipient's employee or agent), you are hereby notified not to read, distribute, use or copy this document or the materials attached. If you have received this document in error, please notify the sender and delete the document from your computer. In compliance with regulatory requirements, all messages sent to or from this server are archived and may be read by someone other than the recipient. This document has been scanned for viruses and malware, and may have been automatically archived by Bullfrog Group.</w:t>
      </w:r>
    </w:p>
    <w:p>
      <w:pPr>
        <w:pBdr>
          <w:top w:val="single" w:color="DDDDDD" w:sz="1"/>
        </w:pBdr>
        <w:spacing w:after="40" w:before="60"/>
      </w:pPr>
    </w:p>
    <w:p>
      <w:pPr>
        <w:spacing w:after="40"/>
        <w:jc w:val="center"/>
      </w:pPr>
      <w:r>
        <w:rPr>
          <w:rFonts w:ascii="Calibri" w:cs="Calibri" w:eastAsia="Calibri" w:hAnsi="Calibri"/>
          <w:i/>
          <w:iCs/>
          <w:color w:val="666666"/>
          <w:sz w:val="16"/>
          <w:szCs w:val="16"/>
        </w:rPr>
        <w:t xml:space="preserve">Issued by Bullex Trading Platform</w:t>
      </w:r>
    </w:p>
    <w:p>
      <w:pPr>
        <w:spacing w:after="40"/>
        <w:jc w:val="center"/>
      </w:pPr>
      <w:r>
        <w:rPr>
          <w:rFonts w:ascii="Calibri" w:cs="Calibri" w:eastAsia="Calibri" w:hAnsi="Calibri"/>
          <w:i/>
          <w:iCs/>
          <w:color w:val="666666"/>
          <w:sz w:val="14"/>
          <w:szCs w:val="14"/>
        </w:rPr>
        <w:t xml:space="preserve">Generated by: Bullex Admin</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2026-05-31T09:42:27.191Z</dcterms:created>
  <dcterms:modified xsi:type="dcterms:W3CDTF">2026-05-31T09:42:27.191Z</dcterms:modified>
</cp:coreProperties>
</file>

<file path=docProps/custom.xml><?xml version="1.0" encoding="utf-8"?>
<Properties xmlns="http://schemas.openxmlformats.org/officeDocument/2006/custom-properties" xmlns:vt="http://schemas.openxmlformats.org/officeDocument/2006/docPropsVTypes"/>
</file>