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Trader Co D</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Final Buyer D</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ZZTEST-mptjd4pw</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CIF</w:t>
            </w:r>
          </w:p>
        </w:tc>
      </w:tr>
    </w:tbl>
    <w:p>
      <w:pPr>
        <w:spacing w:after="40" w:before="40"/>
      </w:pPr>
      <w:r>
        <w:rPr>
          <w:rFonts w:ascii="Calibri" w:cs="Calibri" w:eastAsia="Calibri" w:hAnsi="Calibri"/>
          <w:sz w:val="20"/>
          <w:szCs w:val="20"/>
        </w:rPr>
        <w:t xml:space="preserve">Port of Discharge (POD): Shanghai</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Trader Co D                               Final Buyer D</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31 May 2026                          Date: 31 May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2026-05-31T08:46:53.836Z</dcterms:created>
  <dcterms:modified xsi:type="dcterms:W3CDTF">2026-05-31T08:46:53.836Z</dcterms:modified>
</cp:coreProperties>
</file>

<file path=docProps/custom.xml><?xml version="1.0" encoding="utf-8"?>
<Properties xmlns="http://schemas.openxmlformats.org/officeDocument/2006/custom-properties" xmlns:vt="http://schemas.openxmlformats.org/officeDocument/2006/docPropsVTypes"/>
</file>