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Issued to Seller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Phoenicium Ltd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Shlomi, Israel, 2283200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Attention (PIC)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Dr. Samuel Schidem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Mr. Nilesh Thakkar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LOI Issue No. and Date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_______________ , 08 March 2026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 Till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Saturday 2nd August, 2025 (2000HRS Dubai Time)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Purchase Incoterms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CIF AWSP, China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Issued by Buyer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Bullfrog Trading LLC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Office No. 206, The Business Centre, Opp. Burjuman Mall, Al Hamriya, Bur-Dubai, Dubai, UAE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Attention (PIC)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Mr. Vaman Kumar, CEO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Sr. No. │ Parameters                  │ Details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01      │ Commodity                   │ Copper Cathode Grade A as per LME Standard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02      │ Origin                      │ Pls Advise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03      │ Quantity                    │ 500MT [+/- 5% in Sellers option as a trial], 2,000mt Every Month for 12 Months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04      │ Incoterms Terms             │ CIF AWSP, China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05      │ Delivery period             │ Pls Advise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06      │ Price                       │ USD LME cash bid price on the date of delivery - 20% discount per MT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07      │ Contract Confirmation       │ Subject to Producers Confirmation of cargo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08      │ Commodity                   │ Grade A Copper as per LME Standards. Cargo must conform to the physical and chemical specifications of the following standards;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BS EN 1978 : 1998 - Cu-CATH-1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GB/T 467 - 2010 - Cu-CATH-1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ASTM B115 - 10 - Cathode Grde-1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Specifications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09      │ Payment Terms               │ By DLC against 2% Performance Bond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      │ Documents for Payment       │ Sellers export permit,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Commercial Invoice,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Packing List, 3 originals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Certificate of Origin, 3 originals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Assay Report, signed by office de control of DRC,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Certificate of quantity and quality issued by CCIC/ALFRED H. KNIGHT/SGS at loading port,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Certificate of quantity and quality issued by CCIC/ALFRED H. KNIGHT/SGS at discharge port,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Container Stuffing report issued by CCIC/Alfred H. Knight/SGS at loading 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Certificate of Movement,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Insurance Policy of 110% of the invoice value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11      │ Other terms &amp; conditions    │ For DLC, after signing of SPA, Seller must arrange RWA by MT199 from LC receiving bank indicating their readiness to accept LC and issue performance bond 2% of the value of DLC within 2 working days from the receipt of DLC.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      │ Compliance                  │ Seller must send KYC documents to compliance@bullfrog.ae upon signing of SPA but before issuance of DLC.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 look forward to hearing from you within the stipulated LOI Validity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and look forward to a long term and mutually fruitful association.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With warm regards,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&amp; On Behalf of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Bullfrog Trading LLC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2026-03-08T20:15:53.755Z</dcterms:created>
  <dcterms:modified xsi:type="dcterms:W3CDTF">2026-03-08T20:15:53.755Z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