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Global Seller SA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Acme Buyer Ltd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 days</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Iron Ore 62% Fe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Guinea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Fe 62% min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105.00 per MT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Irrevocable LC at sight</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Qingdao, China</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English Law</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Global Seller SA                          Acme Buyer Ltd</w:t>
      </w:r>
    </w:p>
    <w:p>
      <w:pPr>
        <w:spacing w:after="60" w:before="60"/>
      </w:pPr>
    </w:p>
    <w:p>
      <w:pPr>
        <w:spacing w:after="40" w:before="40"/>
      </w:pPr>
      <w:r>
        <w:rPr>
          <w:rFonts w:ascii="Calibri" w:cs="Calibri" w:eastAsia="Calibri" w:hAnsi="Calibri"/>
          <w:sz w:val="20"/>
          <w:szCs w:val="20"/>
        </w:rPr>
        <w:t xml:space="preserve">Name: John Seller                         Name: Jane Buyer</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30 May 2026                          Date: 30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Fe 62% min</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2026-05-30T17:42:23.460Z</dcterms:created>
  <dcterms:modified xsi:type="dcterms:W3CDTF">2026-05-30T17:42:23.460Z</dcterms:modified>
</cp:coreProperties>
</file>

<file path=docProps/custom.xml><?xml version="1.0" encoding="utf-8"?>
<Properties xmlns="http://schemas.openxmlformats.org/officeDocument/2006/custom-properties" xmlns:vt="http://schemas.openxmlformats.org/officeDocument/2006/docPropsVTypes"/>
</file>