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PURCHASE LETTER OF INTENT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Issued to Seller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Company     :  Phoenicium Ltd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Address     :  Shlomi, Israel, 2283200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Attention   :  Dr. Samuel Schidem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(PIC)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         :  Mr. Vaman Kumar, CEO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LOI Details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LOI Issue No.  : 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Issue Date     :  08 March 2026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 Till     :  Saturday 2nd August, 2025 (2000HRS Dubai Time)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Purchase       :  CIF AWSP, China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Incoterms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Issued by Buyer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Company     :  Bullfrog Trading LLC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Address     :  Office No. 206, The Business Centre, Opp. Burjuman Mall, Al Hamriya, Bur-Dubai, Dubai, UAE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Attention   :  Mr. Vaman Kumar, CEO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(PIC)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Sr. No. │ Parameters                  │ Details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01      │ Commodity                   │ Copper Cathode Grade A as per LME Standard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02      │ Origin                      │ Congo DRC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03      │ Quantity                    │ 500MT [+/- 5%], 2,000mt Monthly x 12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04      │ Incoterms Terms             │ CIF AWSP, China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05      │ Delivery Period             │ To be advised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06      │ Price                       │ USD LME cash bid price - 20% discount per MT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07      │ Contract Confirmation       │ Subject to Producer's Confirmation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of cargo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08      │ Commodity Specifications    │ Grade A Copper as per LME Standards.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BS EN 1978:1998 Cu-CATH-1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GB/T 467-2010 Cu-CATH-1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ASTM B115-10 Cathode Grade-1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Cargo must conform to the physical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and chemical specifications of the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applicable international standards.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09      │ Payment Terms               │ By DLC against 2% Performance Bond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      │ Documents for Payment       │ • Seller's export permit, and 3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Commercial Invoice, 3 Original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Packing List, 3 originals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Certificate of Origin, 3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originals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Assay Report, signed by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appropriate authority,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3 Original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Certificate of quantity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quality issued by an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international independent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surveyor such as CCIC / Alfred H. Knight / SGS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at loading port bonded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warehouse, in 3 original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Certificate of quantity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quality issued by CCIC / Alfred H. Knight / SGS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at discharge port, in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3 original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Container Stuffing report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issued by CCIC / Alfred H. Knight / SGS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at loading port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Certificate of Movement,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issued by seller to declare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that the product is clean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free from any lien and or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Encumbrance, 3 original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Insurance Policy of 110% of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the invoice value issued by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first class insurance company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11      │ Other Terms &amp; Conditions    │ For DLC, after signing of SPA,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Seller must arrange RWA by MT199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from LC receiving bank indicating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their readiness to accept LC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issue performance bond 2% of the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value of DLC within 2 working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days from the receipt of DLC.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12      │ Compliance                  │ Seller must send KYC documents to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compliance@bullfrog.ae upon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signing of SPA but before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issuance of DLC.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 look forward to hearing from you within the stipulated LOI Validity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and look forward to a long term and mutually fruitful association.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With warm regards,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&amp; On Behalf of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Bullfrog Trading LLC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AUTHORISED SIGNATORY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Name: Mr. Vaman Kumar, CEO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Date: 08 March 2026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Signature: 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2026-03-08T19:57:16.945Z</dcterms:created>
  <dcterms:modified xsi:type="dcterms:W3CDTF">2026-03-08T19:57:16.945Z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