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sz w:val="28"/>
          <w:szCs w:val="28"/>
        </w:rPr>
        <w:t xml:space="preserve">RECAP - COMMERCIAL TERMS CONFIRMATION</w:t>
      </w:r>
    </w:p>
    <w:p>
      <w:pPr>
        <w:spacing w:after="100" w:before="100"/>
      </w:pPr>
    </w:p>
    <w:p>
      <w:pPr>
        <w:shd w:fill="E8E8E8" w:color="E8E8E8" w:val="solid"/>
        <w:spacing w:after="150" w:before="300"/>
      </w:pPr>
      <w:r>
        <w:rPr>
          <w:rFonts w:ascii="Calibri" w:cs="Calibri" w:eastAsia="Calibri" w:hAnsi="Calibri"/>
          <w:b/>
          <w:bCs/>
          <w:sz w:val="24"/>
          <w:szCs w:val="24"/>
        </w:rPr>
        <w:t xml:space="preserve">Chapter I - Introductory &amp; Background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Reference</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Effective Date</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Date of last authorized signature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Bullfrog LLC</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Bullfrog LLC</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Legal Model of Contract</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Sales and Purchase Agreement (SPA)</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Recap Validity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 days from today</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II - Scope &amp; Commercial Terms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Petcoke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Country of Origin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Russia</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 Specification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Anode Grade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Basis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 Discharge Port</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Contractual Quantity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50000</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III - Financial &amp; Operational Arrangements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Price &amp; Currency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250</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Terms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LC at Sight, PB: 2%</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Window</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10-15th march</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Terms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IV - Miscellaneous &amp; Boilerplate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Governing Law &amp; Jurisdiction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DIFC Dubai</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Application of Industry Standards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Applicable international industry standards and ICC rules</w:t>
            </w:r>
          </w:p>
        </w:tc>
      </w:tr>
    </w:tbl>
    <w:p>
      <w:pPr>
        <w:spacing w:after="100"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the Seller:</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the Buyer:</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VK - VK@BULLFROG.AE</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VK - VK@BULLFROG.AE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Authorised Signatory: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Authorised Signatory:</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09 March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09 March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&amp; Stamp: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&amp; Stamp:</w:t>
            </w:r>
          </w:p>
        </w:tc>
      </w:tr>
    </w:tbl>
    <w:p>
      <w:r>
        <w:br w:type="page"/>
      </w:r>
    </w:p>
    <w:p>
      <w:pPr>
        <w:shd w:fill="E8E8E8" w:color="E8E8E8" w:val="solid"/>
        <w:spacing w:after="150" w:before="300"/>
      </w:pPr>
      <w:r>
        <w:rPr>
          <w:rFonts w:ascii="Calibri" w:cs="Calibri" w:eastAsia="Calibri" w:hAnsi="Calibri"/>
          <w:b/>
          <w:bCs/>
          <w:sz w:val="24"/>
          <w:szCs w:val="24"/>
        </w:rPr>
        <w:t xml:space="preserve">ANNEX I - PRODUCT SPECIFICATION, QUALITY ADJUSTMENT &amp; SAMPLING</w:t>
      </w:r>
    </w:p>
    <w:p>
      <w:pPr>
        <w:spacing w:after="100" w:before="100"/>
      </w:pPr>
    </w:p>
    <w:p>
      <w:pPr>
        <w:spacing w:after="60" w:before="60"/>
      </w:pPr>
      <w:r>
        <w:rPr>
          <w:rFonts w:ascii="Calibri" w:cs="Calibri" w:eastAsia="Calibri" w:hAnsi="Calibri"/>
          <w:b/>
          <w:bCs/>
          <w:sz w:val="20"/>
          <w:szCs w:val="20"/>
        </w:rPr>
        <w:t xml:space="preserve">Product: Petcoke</w:t>
      </w:r>
    </w:p>
    <w:p>
      <w:pPr>
        <w:spacing w:after="60" w:before="60"/>
      </w:pPr>
      <w:r>
        <w:rPr>
          <w:rFonts w:ascii="Calibri" w:cs="Calibri" w:eastAsia="Calibri" w:hAnsi="Calibri"/>
          <w:b w:val="false"/>
          <w:bCs w:val="false"/>
          <w:sz w:val="20"/>
          <w:szCs w:val="20"/>
        </w:rPr>
        <w:t xml:space="preserve">Grade: Anode Grade</w:t>
      </w:r>
    </w:p>
    <w:p>
      <w:pPr>
        <w:spacing w:after="100" w:before="100"/>
      </w:pPr>
    </w:p>
    <w:p>
      <w:pPr>
        <w:spacing w:after="60" w:before="60"/>
      </w:pPr>
      <w:r>
        <w:rPr>
          <w:rFonts w:ascii="Calibri" w:cs="Calibri" w:eastAsia="Calibri" w:hAnsi="Calibri"/>
          <w:b w:val="false"/>
          <w:bCs w:val="false"/>
          <w:sz w:val="20"/>
          <w:szCs w:val="20"/>
        </w:rPr>
        <w:t xml:space="preserve">The product supplied under this Contract shall comply with the following specifications. Guaranteed specifications represent binding commitments by the Seller. Typical specifications are provided for reference only and shall not constitute contractual guarantees.</w:t>
      </w:r>
    </w:p>
    <w:p>
      <w:pPr>
        <w:spacing w:after="100" w:before="100"/>
      </w:pPr>
    </w:p>
    <w:p>
      <w:pPr>
        <w:spacing w:after="60" w:before="60"/>
      </w:pPr>
      <w:r>
        <w:rPr>
          <w:rFonts w:ascii="Calibri" w:cs="Calibri" w:eastAsia="Calibri" w:hAnsi="Calibri"/>
          <w:b/>
          <w:bCs/>
          <w:sz w:val="20"/>
          <w:szCs w:val="20"/>
        </w:rPr>
        <w:t xml:space="preserve">PRODUCT SPECIFICATION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Parameter</w:t>
            </w:r>
          </w:p>
        </w:tc>
        <w:tc>
          <w:tcPr>
            <w:tcW w:type="dxa" w:w="2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Guaranteed Specification</w:t>
            </w:r>
          </w:p>
        </w:tc>
        <w:tc>
          <w:tcPr>
            <w:tcW w:type="dxa" w:w="2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Typical Specification</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Rejection Limit</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Moisture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Ash</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Volatile Matter</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Fixed Carbon</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Calorific Value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Size Distribution</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100" w:before="100"/>
      </w:pPr>
    </w:p>
    <w:p>
      <w:pPr>
        <w:spacing w:after="60" w:before="60"/>
      </w:pPr>
      <w:r>
        <w:rPr>
          <w:rFonts w:ascii="Calibri" w:cs="Calibri" w:eastAsia="Calibri" w:hAnsi="Calibri"/>
          <w:b/>
          <w:bCs/>
          <w:sz w:val="20"/>
          <w:szCs w:val="20"/>
        </w:rPr>
        <w:t xml:space="preserve">QUALITY PREMIUMS AND PENALTIES:</w:t>
      </w:r>
    </w:p>
    <w:p>
      <w:pPr>
        <w:spacing w:after="60" w:before="60"/>
      </w:pPr>
      <w:r>
        <w:rPr>
          <w:rFonts w:ascii="Calibri" w:cs="Calibri" w:eastAsia="Calibri" w:hAnsi="Calibri"/>
          <w:b w:val="false"/>
          <w:bCs w:val="false"/>
          <w:sz w:val="20"/>
          <w:szCs w:val="20"/>
        </w:rPr>
        <w:t xml:space="preserve">To be agreed between Buyer and Seller.</w:t>
      </w:r>
    </w:p>
    <w:p>
      <w:pPr>
        <w:spacing w:after="100" w:before="100"/>
      </w:pPr>
    </w:p>
    <w:p>
      <w:pPr>
        <w:spacing w:after="60" w:before="60"/>
      </w:pPr>
      <w:r>
        <w:rPr>
          <w:rFonts w:ascii="Calibri" w:cs="Calibri" w:eastAsia="Calibri" w:hAnsi="Calibri"/>
          <w:b/>
          <w:bCs/>
          <w:sz w:val="20"/>
          <w:szCs w:val="20"/>
        </w:rPr>
        <w:t xml:space="preserve">SAMPLING PROCEDURE</w:t>
      </w:r>
    </w:p>
    <w:p>
      <w:pPr>
        <w:spacing w:after="60" w:before="60"/>
      </w:pPr>
      <w:r>
        <w:rPr>
          <w:rFonts w:ascii="Calibri" w:cs="Calibri" w:eastAsia="Calibri" w:hAnsi="Calibri"/>
          <w:b w:val="false"/>
          <w:bCs w:val="false"/>
          <w:sz w:val="20"/>
          <w:szCs w:val="20"/>
        </w:rPr>
        <w:t xml:space="preserve">Sampling shall be conducted during loading at the loading port following internationally recognized standards for sampling. Incremental samples shall be taken systematically and combined into representative composite samples. Sampling and sealing procedures shall be supervised and certified by the independent inspection company.</w:t>
      </w:r>
    </w:p>
    <w:p>
      <w:pPr>
        <w:spacing w:after="100" w:before="100"/>
      </w:pPr>
    </w:p>
    <w:p>
      <w:pPr>
        <w:spacing w:after="60" w:before="60"/>
      </w:pPr>
      <w:r>
        <w:rPr>
          <w:rFonts w:ascii="Calibri" w:cs="Calibri" w:eastAsia="Calibri" w:hAnsi="Calibri"/>
          <w:b/>
          <w:bCs/>
          <w:sz w:val="20"/>
          <w:szCs w:val="20"/>
        </w:rPr>
        <w:t xml:space="preserve">QUALITY DETERMINATION</w:t>
      </w:r>
    </w:p>
    <w:p>
      <w:pPr>
        <w:spacing w:after="60" w:before="60"/>
      </w:pPr>
      <w:r>
        <w:rPr>
          <w:rFonts w:ascii="Calibri" w:cs="Calibri" w:eastAsia="Calibri" w:hAnsi="Calibri"/>
          <w:b w:val="false"/>
          <w:bCs w:val="false"/>
          <w:sz w:val="20"/>
          <w:szCs w:val="20"/>
        </w:rPr>
        <w:t xml:space="preserve">All quality determinations shall be performed by an internationally recognized inspection company such as SGS at the loading port. The inspection certificate issued at the loading port shall be final and binding for both Parties.</w:t>
      </w:r>
    </w:p>
    <w:p>
      <w:pPr>
        <w:spacing w:after="100" w:before="100"/>
      </w:pPr>
    </w:p>
    <w:p>
      <w:pPr>
        <w:spacing w:after="60" w:before="60"/>
      </w:pPr>
      <w:r>
        <w:rPr>
          <w:rFonts w:ascii="Calibri" w:cs="Calibri" w:eastAsia="Calibri" w:hAnsi="Calibri"/>
          <w:b/>
          <w:bCs/>
          <w:sz w:val="20"/>
          <w:szCs w:val="20"/>
        </w:rPr>
        <w:t xml:space="preserve">SAMPLE RETENTION</w:t>
      </w:r>
    </w:p>
    <w:p>
      <w:pPr>
        <w:spacing w:after="60" w:before="60"/>
      </w:pPr>
      <w:r>
        <w:rPr>
          <w:rFonts w:ascii="Calibri" w:cs="Calibri" w:eastAsia="Calibri" w:hAnsi="Calibri"/>
          <w:b w:val="false"/>
          <w:bCs w:val="false"/>
          <w:sz w:val="20"/>
          <w:szCs w:val="20"/>
        </w:rPr>
        <w:t xml:space="preserve">One representative sealed sample shall be retained by the inspection company for ninety (90) days for reference in case of dispute.</w:t>
      </w:r>
    </w:p>
    <w:p>
      <w:pPr>
        <w:spacing w:after="100" w:before="100"/>
      </w:pPr>
    </w:p>
    <w:p>
      <w:pPr>
        <w:spacing w:after="60" w:before="60"/>
      </w:pPr>
      <w:r>
        <w:rPr>
          <w:rFonts w:ascii="Calibri" w:cs="Calibri" w:eastAsia="Calibri" w:hAnsi="Calibri"/>
          <w:b/>
          <w:bCs/>
          <w:sz w:val="20"/>
          <w:szCs w:val="20"/>
        </w:rPr>
        <w:t xml:space="preserve">MOISTURE DETERMINATION</w:t>
      </w:r>
    </w:p>
    <w:p>
      <w:pPr>
        <w:spacing w:after="60" w:before="60"/>
      </w:pPr>
      <w:r>
        <w:rPr>
          <w:rFonts w:ascii="Calibri" w:cs="Calibri" w:eastAsia="Calibri" w:hAnsi="Calibri"/>
          <w:b w:val="false"/>
          <w:bCs w:val="false"/>
          <w:sz w:val="20"/>
          <w:szCs w:val="20"/>
        </w:rPr>
        <w:t xml:space="preserve">Moisture content shall be determined at the loading port based on laboratory analysis of representative composite samples. The moisture value determined at the loading port shall be the contractual moisture value for the cargo. Any determination at the discharge port shall be for reference only and shall not affect commercial settlement.</w:t>
      </w:r>
    </w:p>
    <w:p>
      <w:pPr>
        <w:spacing w:after="100" w:before="100"/>
      </w:pPr>
    </w:p>
    <w:p>
      <w:pPr>
        <w:spacing w:after="60" w:before="60"/>
      </w:pPr>
      <w:r>
        <w:rPr>
          <w:rFonts w:ascii="Calibri" w:cs="Calibri" w:eastAsia="Calibri" w:hAnsi="Calibri"/>
          <w:b/>
          <w:bCs/>
          <w:sz w:val="20"/>
          <w:szCs w:val="20"/>
        </w:rPr>
        <w:t xml:space="preserve">QUANTITY AND WEIGHT DETERMINATION</w:t>
      </w:r>
    </w:p>
    <w:p>
      <w:pPr>
        <w:spacing w:after="60" w:before="60"/>
      </w:pPr>
      <w:r>
        <w:rPr>
          <w:rFonts w:ascii="Calibri" w:cs="Calibri" w:eastAsia="Calibri" w:hAnsi="Calibri"/>
          <w:b w:val="false"/>
          <w:bCs w:val="false"/>
          <w:sz w:val="20"/>
          <w:szCs w:val="20"/>
        </w:rPr>
        <w:t xml:space="preserve">The quantity of the cargo shall be determined at the loading port by draft survey conducted by an independent inspection company such as SGS. The draft survey certificate issued at the loading port shall determine the official shipped quantity and shall be final and binding for both Parties. The quantity stated in the Bill of Lading and confirmed by the draft survey certificate shall be the contractual quantity for invoicing and settlement purposes.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2026-03-09T04:13:38.773Z</dcterms:created>
  <dcterms:modified xsi:type="dcterms:W3CDTF">2026-03-09T04:13:38.774Z</dcterms:modified>
</cp:coreProperties>
</file>

<file path=docProps/custom.xml><?xml version="1.0" encoding="utf-8"?>
<Properties xmlns="http://schemas.openxmlformats.org/officeDocument/2006/custom-properties" xmlns:vt="http://schemas.openxmlformats.org/officeDocument/2006/docPropsVTypes"/>
</file>