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Trader Co D</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Final Buyer D</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ZZTEST-mptn8ifp</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CIF</w:t>
            </w:r>
          </w:p>
        </w:tc>
      </w:tr>
    </w:tbl>
    <w:p>
      <w:pPr>
        <w:spacing w:after="40" w:before="40"/>
      </w:pPr>
      <w:r>
        <w:rPr>
          <w:rFonts w:ascii="Calibri" w:cs="Calibri" w:eastAsia="Calibri" w:hAnsi="Calibri"/>
          <w:sz w:val="20"/>
          <w:szCs w:val="20"/>
        </w:rPr>
        <w:t xml:space="preserve">Port of Discharge (POD): Shanghai</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Trader Co D                               Final Buyer D</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31 May 2026                          Date: 31 May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2026-05-31T10:35:17.366Z</dcterms:created>
  <dcterms:modified xsi:type="dcterms:W3CDTF">2026-05-31T10:35:17.366Z</dcterms:modified>
</cp:coreProperties>
</file>

<file path=docProps/custom.xml><?xml version="1.0" encoding="utf-8"?>
<Properties xmlns="http://schemas.openxmlformats.org/officeDocument/2006/custom-properties" xmlns:vt="http://schemas.openxmlformats.org/officeDocument/2006/docPropsVTypes"/>
</file>