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(DIFC),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Copper cathodes.</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(DIFC). The Parties shall submit to the exclusive jurisdiction of the courts of DIFC Courts.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05 May 2026</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tc>
      </w:tr>
    </w:tbl>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6c9798c120fb9b967728f46ed97dcedc478ad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2026-05-05T22:13:03.856Z</dcterms:created>
  <dcterms:modified xsi:type="dcterms:W3CDTF">2026-05-05T22:13:03.856Z</dcterms:modified>
</cp:coreProperties>
</file>

<file path=docProps/custom.xml><?xml version="1.0" encoding="utf-8"?>
<Properties xmlns="http://schemas.openxmlformats.org/officeDocument/2006/custom-properties" xmlns:vt="http://schemas.openxmlformats.org/officeDocument/2006/docPropsVTypes"/>
</file>