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3642"/>
        <w:gridCol w:w="6825"/>
      </w:tblGrid>
      <w:tr w:rsidR="00AE34B2" w:rsidTr="00FF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96" w:type="dxa"/>
            <w:gridSpan w:val="2"/>
          </w:tcPr>
          <w:p w:rsidR="00AE34B2" w:rsidRPr="00FF280B" w:rsidRDefault="00AE34B2" w:rsidP="00FF280B">
            <w:pPr>
              <w:jc w:val="left"/>
              <w:rPr>
                <w:rFonts w:ascii="Helvetica" w:hAnsi="Helvetica" w:cs="Helvetica"/>
                <w:i w:val="0"/>
                <w:color w:val="002060"/>
                <w:sz w:val="40"/>
                <w:szCs w:val="40"/>
                <w:lang w:val="es-AR"/>
              </w:rPr>
            </w:pPr>
            <w:r w:rsidRPr="00FF280B">
              <w:rPr>
                <w:rFonts w:ascii="Helvetica" w:hAnsi="Helvetica" w:cs="Helvetica"/>
                <w:i w:val="0"/>
                <w:color w:val="002060"/>
                <w:sz w:val="40"/>
                <w:szCs w:val="40"/>
                <w:lang w:val="es-AR"/>
              </w:rPr>
              <w:t>Estrategia de Activos: Sector Agrícola</w:t>
            </w:r>
          </w:p>
        </w:tc>
      </w:tr>
      <w:tr w:rsidR="00A054AA" w:rsidTr="00FF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:rsidR="00A054AA" w:rsidRPr="004D4BB0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 xml:space="preserve">Jueves, 12 de </w:t>
            </w:r>
            <w:r w:rsidR="00E3550F"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>mayo</w:t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 xml:space="preserve"> de 2016</w:t>
            </w:r>
          </w:p>
          <w:p w:rsidR="00A054AA" w:rsidRPr="004D4BB0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</w:p>
          <w:p w:rsidR="00A054AA" w:rsidRPr="004D4BB0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Plazo de Valuación</w:t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>: Largo Plazo</w:t>
            </w:r>
          </w:p>
          <w:p w:rsidR="00125A57" w:rsidRPr="004D4BB0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Moneda de Valuación</w:t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>: Dólar Contado con Liquidación.</w:t>
            </w:r>
          </w:p>
          <w:p w:rsidR="00A054AA" w:rsidRPr="004D4BB0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6737" w:type="dxa"/>
            <w:vMerge w:val="restart"/>
          </w:tcPr>
          <w:p w:rsidR="00A054AA" w:rsidRPr="00FF280B" w:rsidRDefault="00A054AA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El presente informe pretende realizar una valuación de las empresas que conforman el sector agrícola utilizando al dólar contado con liquidación para evaluar el comportamiento y expectativas a largo plazo de las mismas.</w:t>
            </w:r>
          </w:p>
          <w:p w:rsidR="00A054AA" w:rsidRPr="00FF280B" w:rsidRDefault="00A054AA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  <w:p w:rsidR="00A054AA" w:rsidRDefault="004D4BB0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</w:pPr>
            <w:r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  <w:t>Premisas del Análisis</w:t>
            </w:r>
          </w:p>
          <w:p w:rsidR="004D4BB0" w:rsidRPr="00FF280B" w:rsidRDefault="004D4BB0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8"/>
                <w:szCs w:val="28"/>
                <w:lang w:val="es-AR"/>
              </w:rPr>
            </w:pPr>
          </w:p>
          <w:p w:rsidR="00125A57" w:rsidRPr="00FF280B" w:rsidRDefault="00125A57" w:rsidP="004D4BB0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Partimos el análisis del año 2011 cuando se inicia el cepo cambiario y los activos locales se transforma en mercados de frontera según JP Morgan.</w:t>
            </w:r>
          </w:p>
          <w:p w:rsidR="00125A57" w:rsidRPr="00FF280B" w:rsidRDefault="00125A57" w:rsidP="004D4BB0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Suponemos que Argentina recuperará la clasificación de mercado emergente, produciéndose una revaluación en dólares volviendo a los valores del año 2011.</w:t>
            </w:r>
          </w:p>
          <w:p w:rsidR="00125A57" w:rsidRPr="00FF280B" w:rsidRDefault="00125A57" w:rsidP="004D4BB0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Utilizaremos como referencia al Índice Merval en Dólares </w:t>
            </w:r>
            <w:r w:rsidR="009E00A7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para construir un índice teórico del sector agrícola y así </w:t>
            </w: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evitar el sesgo cambiario </w:t>
            </w:r>
            <w:r w:rsidR="009E00A7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pudiendo</w:t>
            </w: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comparar al sector agrícola con los demás sectores líderes</w:t>
            </w:r>
            <w:r w:rsidR="009E00A7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de la economía</w:t>
            </w: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. </w:t>
            </w:r>
          </w:p>
          <w:p w:rsidR="00125A57" w:rsidRPr="00FF280B" w:rsidRDefault="00125A57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  <w:lang w:val="es-AR"/>
              </w:rPr>
            </w:pPr>
          </w:p>
          <w:p w:rsidR="004D4BB0" w:rsidRDefault="00C20C89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  <w:t>Contexto Histórico</w:t>
            </w:r>
            <w:r w:rsidR="008B6BD2" w:rsidRPr="004D4BB0"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  <w:t xml:space="preserve"> del Sector Agrícola</w:t>
            </w:r>
            <w:r w:rsidRPr="004D4BB0"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  <w:t xml:space="preserve"> </w:t>
            </w:r>
          </w:p>
          <w:p w:rsidR="004D4BB0" w:rsidRPr="004D4BB0" w:rsidRDefault="004D4BB0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</w:pPr>
          </w:p>
          <w:p w:rsidR="00C20C89" w:rsidRPr="00FF280B" w:rsidRDefault="00C20C89" w:rsidP="004D4B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El sector agrícola, valuado en dólares, aún no ha logrado igualar los valores del año 2011</w:t>
            </w:r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, disminuyendo un 20% desde entonces</w:t>
            </w:r>
            <w:r w:rsidR="009F4C49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afectado por la depresión de los precios internacionales agrícolas y ganaderos</w:t>
            </w: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. </w:t>
            </w:r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br/>
            </w:r>
            <w:r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El Índice agrícola construido </w:t>
            </w:r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se encuentra actualmente en 0.78 centavos de dólar, mientras que en diciembre de 2011 se hallaba en 1.10 dólares.</w:t>
            </w:r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br/>
            </w:r>
            <w:proofErr w:type="spellStart"/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Agrometal</w:t>
            </w:r>
            <w:proofErr w:type="spellEnd"/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t>, la empresa más expuesta al riesgo argentino ajustó el último cuatrimestre de forma abrupta recuperando la valuación del año 2011.</w:t>
            </w:r>
            <w:r w:rsidR="008B6BD2" w:rsidRPr="00FF280B">
              <w:rPr>
                <w:rFonts w:ascii="Helvetica" w:hAnsi="Helvetica" w:cs="Helvetica"/>
                <w:sz w:val="20"/>
                <w:szCs w:val="20"/>
                <w:lang w:val="es-AR"/>
              </w:rPr>
              <w:br/>
              <w:t>Al día de la fecha, Carlos Casado, la empresa menos expuesta al riesgo local, es la más atrasada con respecto al año testigo.</w:t>
            </w:r>
          </w:p>
          <w:p w:rsidR="00C20C89" w:rsidRPr="00FF280B" w:rsidRDefault="00C20C89" w:rsidP="00C20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  <w:p w:rsidR="00125A57" w:rsidRPr="00FF280B" w:rsidRDefault="005F5159" w:rsidP="008B6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FF280B">
              <w:rPr>
                <w:rFonts w:ascii="Helvetica" w:hAnsi="Helvetica" w:cs="Helvetica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6F9CD8B9" wp14:editId="6F3319CE">
                  <wp:extent cx="4200717" cy="3171825"/>
                  <wp:effectExtent l="0" t="0" r="9525" b="0"/>
                  <wp:docPr id="2" name="Imagen 2" descr="D:\Descargas\agricola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escargas\agricola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5986" cy="317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4AA" w:rsidTr="00FF280B">
        <w:trPr>
          <w:trHeight w:val="2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:rsidR="00A054AA" w:rsidRDefault="00A054AA" w:rsidP="004D4BB0">
            <w:pPr>
              <w:jc w:val="left"/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Empresas que conforman al sector</w:t>
            </w:r>
          </w:p>
          <w:p w:rsidR="004D4BB0" w:rsidRPr="004D4BB0" w:rsidRDefault="004D4BB0" w:rsidP="004D4BB0">
            <w:pPr>
              <w:jc w:val="left"/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</w:p>
          <w:tbl>
            <w:tblPr>
              <w:tblStyle w:val="Tablanormal2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1576"/>
            </w:tblGrid>
            <w:tr w:rsidR="004D4BB0" w:rsidRPr="004D4BB0" w:rsidTr="00FF28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5" w:type="dxa"/>
                </w:tcPr>
                <w:p w:rsidR="00A054AA" w:rsidRPr="004D4BB0" w:rsidRDefault="00A054AA" w:rsidP="004D4BB0">
                  <w:pPr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CRESUD</w:t>
                  </w:r>
                </w:p>
              </w:tc>
              <w:tc>
                <w:tcPr>
                  <w:tcW w:w="1576" w:type="dxa"/>
                </w:tcPr>
                <w:p w:rsidR="00A054AA" w:rsidRPr="004D4BB0" w:rsidRDefault="00A054AA" w:rsidP="004D4BB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40%</w:t>
                  </w:r>
                </w:p>
              </w:tc>
            </w:tr>
            <w:tr w:rsidR="004D4BB0" w:rsidRPr="004D4BB0" w:rsidTr="004D4B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5" w:type="dxa"/>
                </w:tcPr>
                <w:p w:rsidR="00A054AA" w:rsidRPr="004D4BB0" w:rsidRDefault="00A054AA" w:rsidP="004D4BB0">
                  <w:pPr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CADO</w:t>
                  </w:r>
                </w:p>
              </w:tc>
              <w:tc>
                <w:tcPr>
                  <w:tcW w:w="1576" w:type="dxa"/>
                </w:tcPr>
                <w:p w:rsidR="00A054AA" w:rsidRPr="004D4BB0" w:rsidRDefault="00A054AA" w:rsidP="004D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35%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5" w:type="dxa"/>
                </w:tcPr>
                <w:p w:rsidR="00A054AA" w:rsidRPr="004D4BB0" w:rsidRDefault="00A054AA" w:rsidP="004D4BB0">
                  <w:pPr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AGRO</w:t>
                  </w:r>
                </w:p>
              </w:tc>
              <w:tc>
                <w:tcPr>
                  <w:tcW w:w="1576" w:type="dxa"/>
                </w:tcPr>
                <w:p w:rsidR="00A054AA" w:rsidRPr="004D4BB0" w:rsidRDefault="00A054AA" w:rsidP="004D4B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25%</w:t>
                  </w:r>
                </w:p>
              </w:tc>
            </w:tr>
          </w:tbl>
          <w:p w:rsidR="004D4BB0" w:rsidRDefault="004D4BB0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</w:pPr>
          </w:p>
          <w:p w:rsidR="00A054AA" w:rsidRDefault="00A054AA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</w:pP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  <w:t xml:space="preserve">El índice se calcula en función a el dólar transferencia Nueva York (USD Contado con </w:t>
            </w:r>
            <w:proofErr w:type="spellStart"/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  <w:t>Luidación</w:t>
            </w:r>
            <w:proofErr w:type="spellEnd"/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  <w:t>).</w:t>
            </w:r>
          </w:p>
          <w:p w:rsidR="004D4BB0" w:rsidRPr="004D4BB0" w:rsidRDefault="004D4BB0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16"/>
                <w:szCs w:val="16"/>
                <w:lang w:val="es-AR"/>
              </w:rPr>
            </w:pPr>
          </w:p>
        </w:tc>
        <w:tc>
          <w:tcPr>
            <w:tcW w:w="6737" w:type="dxa"/>
            <w:vMerge/>
          </w:tcPr>
          <w:p w:rsidR="00A054AA" w:rsidRPr="00FF280B" w:rsidRDefault="00A054AA" w:rsidP="0019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</w:tc>
      </w:tr>
      <w:tr w:rsidR="00C20C89" w:rsidTr="00FF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9" w:type="dxa"/>
          </w:tcPr>
          <w:p w:rsidR="00C20C89" w:rsidRPr="004D4BB0" w:rsidRDefault="00C20C89" w:rsidP="004D4BB0">
            <w:pPr>
              <w:jc w:val="left"/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Descripción de las empresas</w:t>
            </w:r>
          </w:p>
          <w:p w:rsidR="00C20C89" w:rsidRPr="004D4BB0" w:rsidRDefault="00C20C89" w:rsidP="004D4BB0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proofErr w:type="spellStart"/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Cresud</w:t>
            </w:r>
            <w:proofErr w:type="spellEnd"/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br/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8"/>
                <w:szCs w:val="18"/>
                <w:lang w:val="es-AR"/>
              </w:rPr>
              <w:t>Empresa vinculada al alquiler de tierras, explotación agrícola y ganadera, operando en Argentina, Brasil y Paraguay.</w:t>
            </w:r>
          </w:p>
          <w:p w:rsidR="00C20C89" w:rsidRPr="004D4BB0" w:rsidRDefault="00C20C89" w:rsidP="004D4BB0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18"/>
                <w:szCs w:val="18"/>
                <w:lang w:val="es-AR"/>
              </w:rPr>
            </w:pPr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Carlos Casado</w:t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br/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8"/>
                <w:szCs w:val="18"/>
                <w:lang w:val="es-AR"/>
              </w:rPr>
              <w:t>Empresa vinculada al alquiler, compra y venta de tierras, explotación ganadera, operando en Argentina y Paraguay.</w:t>
            </w:r>
          </w:p>
          <w:p w:rsidR="00C20C89" w:rsidRPr="004D4BB0" w:rsidRDefault="00C20C89" w:rsidP="004D4BB0">
            <w:pPr>
              <w:pStyle w:val="Prrafodelista"/>
              <w:numPr>
                <w:ilvl w:val="0"/>
                <w:numId w:val="26"/>
              </w:num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proofErr w:type="spellStart"/>
            <w:r w:rsidRPr="004D4BB0"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Agrometal</w:t>
            </w:r>
            <w:proofErr w:type="spellEnd"/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  <w:br/>
            </w:r>
            <w:r w:rsidRPr="004D4BB0">
              <w:rPr>
                <w:rFonts w:ascii="Helvetica" w:hAnsi="Helvetica" w:cs="Helvetica"/>
                <w:i w:val="0"/>
                <w:color w:val="7F7F7F" w:themeColor="text1" w:themeTint="80"/>
                <w:sz w:val="18"/>
                <w:szCs w:val="18"/>
                <w:lang w:val="es-AR"/>
              </w:rPr>
              <w:t>Empresas dedicada a la manufactura de maquinaría agrícola pesada, con operaciones en Argentina.</w:t>
            </w:r>
          </w:p>
          <w:p w:rsidR="00C20C89" w:rsidRPr="004D4BB0" w:rsidRDefault="00C20C89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</w:p>
          <w:p w:rsidR="00C20C89" w:rsidRDefault="004D4BB0" w:rsidP="004D4BB0">
            <w:pPr>
              <w:jc w:val="left"/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  <w:t>Información Técnica</w:t>
            </w:r>
          </w:p>
          <w:p w:rsidR="004D4BB0" w:rsidRPr="004D4BB0" w:rsidRDefault="004D4BB0" w:rsidP="004D4BB0">
            <w:pPr>
              <w:jc w:val="left"/>
              <w:rPr>
                <w:rFonts w:ascii="Helvetica" w:hAnsi="Helvetica" w:cs="Helvetica"/>
                <w:b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</w:p>
          <w:tbl>
            <w:tblPr>
              <w:tblStyle w:val="Tablanormal2"/>
              <w:tblW w:w="3435" w:type="dxa"/>
              <w:tblLook w:val="04A0" w:firstRow="1" w:lastRow="0" w:firstColumn="1" w:lastColumn="0" w:noHBand="0" w:noVBand="1"/>
            </w:tblPr>
            <w:tblGrid>
              <w:gridCol w:w="1990"/>
              <w:gridCol w:w="1445"/>
            </w:tblGrid>
            <w:tr w:rsidR="004D4BB0" w:rsidRPr="004D4BB0" w:rsidTr="004D4B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gridSpan w:val="2"/>
                  <w:shd w:val="clear" w:color="auto" w:fill="F2F2F2" w:themeFill="background1" w:themeFillShade="F2"/>
                </w:tcPr>
                <w:p w:rsidR="00C20C89" w:rsidRPr="004D4BB0" w:rsidRDefault="00C20C89" w:rsidP="004D4BB0">
                  <w:pPr>
                    <w:jc w:val="center"/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CRESUD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Precio</w:t>
                  </w:r>
                </w:p>
              </w:tc>
              <w:tc>
                <w:tcPr>
                  <w:tcW w:w="1444" w:type="dxa"/>
                </w:tcPr>
                <w:p w:rsidR="00C20C89" w:rsidRPr="004D4BB0" w:rsidRDefault="005F5159" w:rsidP="004D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14.45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Mensual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8.80%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18.90%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Interanual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11.90%</w:t>
                  </w:r>
                </w:p>
              </w:tc>
            </w:tr>
            <w:tr w:rsidR="004D4BB0" w:rsidRPr="004D4BB0" w:rsidTr="004D4B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gridSpan w:val="2"/>
                  <w:shd w:val="clear" w:color="auto" w:fill="F2F2F2" w:themeFill="background1" w:themeFillShade="F2"/>
                </w:tcPr>
                <w:p w:rsidR="00C20C89" w:rsidRPr="004D4BB0" w:rsidRDefault="00C20C89" w:rsidP="004D4BB0">
                  <w:pPr>
                    <w:jc w:val="center"/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CADO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Precio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8.90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Mensual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16.00%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11.25%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Interanual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27.14%</w:t>
                  </w:r>
                </w:p>
              </w:tc>
            </w:tr>
            <w:tr w:rsidR="004D4BB0" w:rsidRPr="004D4BB0" w:rsidTr="004D4BB0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gridSpan w:val="2"/>
                  <w:shd w:val="clear" w:color="auto" w:fill="F2F2F2" w:themeFill="background1" w:themeFillShade="F2"/>
                </w:tcPr>
                <w:p w:rsidR="00C20C89" w:rsidRPr="004D4BB0" w:rsidRDefault="00C20C89" w:rsidP="004D4BB0">
                  <w:pPr>
                    <w:jc w:val="center"/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AGRO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Precio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7.80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Mensual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0.25%</w:t>
                  </w:r>
                </w:p>
              </w:tc>
            </w:tr>
            <w:tr w:rsidR="004D4BB0" w:rsidRPr="004D4BB0" w:rsidTr="00FF28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7.58%</w:t>
                  </w:r>
                </w:p>
              </w:tc>
            </w:tr>
            <w:tr w:rsidR="004D4BB0" w:rsidRPr="004D4BB0" w:rsidTr="00FF280B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90" w:type="dxa"/>
                </w:tcPr>
                <w:p w:rsidR="00C20C89" w:rsidRPr="004D4BB0" w:rsidRDefault="00C20C89" w:rsidP="004D4BB0">
                  <w:pPr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b w:val="0"/>
                      <w:color w:val="7F7F7F" w:themeColor="text1" w:themeTint="80"/>
                      <w:sz w:val="20"/>
                      <w:szCs w:val="20"/>
                      <w:lang w:val="es-AR"/>
                    </w:rPr>
                    <w:t>Var. % Interanual</w:t>
                  </w:r>
                </w:p>
              </w:tc>
              <w:tc>
                <w:tcPr>
                  <w:tcW w:w="1444" w:type="dxa"/>
                </w:tcPr>
                <w:p w:rsidR="00C20C89" w:rsidRPr="004D4BB0" w:rsidRDefault="009E00A7" w:rsidP="004D4BB0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</w:pPr>
                  <w:r w:rsidRPr="004D4BB0">
                    <w:rPr>
                      <w:rFonts w:ascii="Helvetica" w:hAnsi="Helvetica" w:cs="Helvetica"/>
                      <w:color w:val="7F7F7F" w:themeColor="text1" w:themeTint="80"/>
                      <w:sz w:val="20"/>
                      <w:szCs w:val="20"/>
                      <w:lang w:val="es-AR"/>
                    </w:rPr>
                    <w:t>169.00%</w:t>
                  </w:r>
                </w:p>
              </w:tc>
            </w:tr>
          </w:tbl>
          <w:p w:rsidR="00C20C89" w:rsidRPr="004D4BB0" w:rsidRDefault="00C20C89" w:rsidP="004D4BB0">
            <w:pPr>
              <w:jc w:val="left"/>
              <w:rPr>
                <w:rFonts w:ascii="Helvetica" w:hAnsi="Helvetica" w:cs="Helvetica"/>
                <w:i w:val="0"/>
                <w:color w:val="7F7F7F" w:themeColor="text1" w:themeTint="80"/>
                <w:sz w:val="20"/>
                <w:szCs w:val="20"/>
                <w:lang w:val="es-AR"/>
              </w:rPr>
            </w:pPr>
          </w:p>
        </w:tc>
        <w:tc>
          <w:tcPr>
            <w:tcW w:w="6737" w:type="dxa"/>
            <w:vMerge/>
          </w:tcPr>
          <w:p w:rsidR="00C20C89" w:rsidRPr="00FF280B" w:rsidRDefault="00C20C89" w:rsidP="0019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</w:tc>
      </w:tr>
    </w:tbl>
    <w:p w:rsidR="00E22577" w:rsidRDefault="00E22577" w:rsidP="00190EAB">
      <w:pPr>
        <w:rPr>
          <w:rFonts w:ascii="Helvetica" w:hAnsi="Helvetica" w:cs="Helvetica"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7"/>
        <w:gridCol w:w="5170"/>
      </w:tblGrid>
      <w:tr w:rsidR="009F4C49" w:rsidRPr="004D4BB0" w:rsidTr="004D4BB0">
        <w:tc>
          <w:tcPr>
            <w:tcW w:w="10457" w:type="dxa"/>
            <w:gridSpan w:val="2"/>
          </w:tcPr>
          <w:p w:rsidR="00FF280B" w:rsidRDefault="009F4C49" w:rsidP="009F4C49">
            <w:pPr>
              <w:rPr>
                <w:rFonts w:ascii="Helvetica" w:hAnsi="Helvetica" w:cs="Helvetica"/>
                <w:b/>
                <w:sz w:val="28"/>
                <w:szCs w:val="28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002060"/>
                <w:sz w:val="28"/>
                <w:szCs w:val="28"/>
                <w:lang w:val="es-AR"/>
              </w:rPr>
              <w:t>Estrategia Operativa</w:t>
            </w:r>
          </w:p>
          <w:p w:rsidR="004D4BB0" w:rsidRPr="004D4BB0" w:rsidRDefault="004D4BB0" w:rsidP="009F4C49">
            <w:pPr>
              <w:rPr>
                <w:rFonts w:ascii="Helvetica" w:hAnsi="Helvetica" w:cs="Helvetica"/>
                <w:b/>
                <w:sz w:val="28"/>
                <w:szCs w:val="28"/>
                <w:lang w:val="es-AR"/>
              </w:rPr>
            </w:pPr>
          </w:p>
        </w:tc>
      </w:tr>
      <w:tr w:rsidR="004D4BB0" w:rsidRPr="004D4BB0" w:rsidTr="004D4BB0">
        <w:tc>
          <w:tcPr>
            <w:tcW w:w="5287" w:type="dxa"/>
          </w:tcPr>
          <w:p w:rsidR="009F4C49" w:rsidRPr="004D4BB0" w:rsidRDefault="005F5159" w:rsidP="005F5159">
            <w:pPr>
              <w:rPr>
                <w:rFonts w:ascii="Helvetica" w:hAnsi="Helvetica" w:cs="Helvetica"/>
                <w:b/>
                <w:color w:val="002060"/>
                <w:sz w:val="24"/>
                <w:szCs w:val="24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002060"/>
                <w:sz w:val="24"/>
                <w:szCs w:val="24"/>
                <w:lang w:val="es-AR"/>
              </w:rPr>
              <w:t>Estrategia período 2013 – 2016</w:t>
            </w:r>
          </w:p>
        </w:tc>
        <w:tc>
          <w:tcPr>
            <w:tcW w:w="5170" w:type="dxa"/>
          </w:tcPr>
          <w:p w:rsidR="009F4C49" w:rsidRPr="004D4BB0" w:rsidRDefault="005F5159" w:rsidP="009F4C49">
            <w:pPr>
              <w:rPr>
                <w:rFonts w:ascii="Helvetica" w:hAnsi="Helvetica" w:cs="Helvetica"/>
                <w:b/>
                <w:sz w:val="24"/>
                <w:szCs w:val="24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002060"/>
                <w:sz w:val="24"/>
                <w:szCs w:val="24"/>
                <w:lang w:val="es-AR"/>
              </w:rPr>
              <w:t>Estrategia ampliada 2015 – 2016</w:t>
            </w:r>
          </w:p>
        </w:tc>
      </w:tr>
      <w:tr w:rsidR="004D4BB0" w:rsidRPr="004D4BB0" w:rsidTr="004D4BB0">
        <w:trPr>
          <w:trHeight w:val="2107"/>
        </w:trPr>
        <w:tc>
          <w:tcPr>
            <w:tcW w:w="5287" w:type="dxa"/>
          </w:tcPr>
          <w:p w:rsidR="009E00A7" w:rsidRPr="004D4BB0" w:rsidRDefault="00FF280B" w:rsidP="004D4BB0">
            <w:pPr>
              <w:jc w:val="center"/>
              <w:rPr>
                <w:rFonts w:ascii="Helvetica" w:hAnsi="Helvetica" w:cs="Helvetica"/>
                <w:sz w:val="28"/>
                <w:szCs w:val="28"/>
                <w:lang w:val="es-AR"/>
              </w:rPr>
            </w:pPr>
            <w:r w:rsidRPr="004D4BB0">
              <w:rPr>
                <w:rFonts w:ascii="Helvetica" w:hAnsi="Helvetica" w:cs="Helvetica"/>
                <w:noProof/>
                <w:sz w:val="28"/>
                <w:szCs w:val="28"/>
                <w:lang w:eastAsia="es-ES"/>
              </w:rPr>
              <w:drawing>
                <wp:inline distT="0" distB="0" distL="0" distR="0" wp14:anchorId="4EC960A0" wp14:editId="1E8CAB33">
                  <wp:extent cx="3152775" cy="2279194"/>
                  <wp:effectExtent l="0" t="0" r="0" b="6985"/>
                  <wp:docPr id="5" name="Imagen 5" descr="D:\Descargas\AGRICOLA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escargas\AGRICOLA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336" cy="22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:rsidR="00E3550F" w:rsidRPr="004D4BB0" w:rsidRDefault="00FF280B" w:rsidP="004D4BB0">
            <w:pPr>
              <w:jc w:val="center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noProof/>
                <w:sz w:val="28"/>
                <w:szCs w:val="28"/>
                <w:lang w:eastAsia="es-ES"/>
              </w:rPr>
              <w:drawing>
                <wp:inline distT="0" distB="0" distL="0" distR="0" wp14:anchorId="73A321B1" wp14:editId="5450800E">
                  <wp:extent cx="2961640" cy="2252080"/>
                  <wp:effectExtent l="0" t="0" r="0" b="0"/>
                  <wp:docPr id="6" name="Imagen 6" descr="D:\Descargas\agricola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cargas\agricola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502" cy="227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B0" w:rsidRPr="004D4BB0" w:rsidTr="004D4BB0">
        <w:trPr>
          <w:trHeight w:val="2107"/>
        </w:trPr>
        <w:tc>
          <w:tcPr>
            <w:tcW w:w="5287" w:type="dxa"/>
          </w:tcPr>
          <w:p w:rsidR="00FF280B" w:rsidRPr="004D4BB0" w:rsidRDefault="00FF280B" w:rsidP="009E00A7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  <w:p w:rsidR="009E00A7" w:rsidRPr="004D4BB0" w:rsidRDefault="00FF280B" w:rsidP="004D4BB0">
            <w:pPr>
              <w:jc w:val="both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>La estrategia operativa se basa en la convergencia del valor de mercado del índice agrícola (trazado rojo) con el índice teórico construido en función del Índice Merval en dólares (trazado azul)</w:t>
            </w:r>
            <w:r w:rsid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 xml:space="preserve">. 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>Históricamente, a largo plazo la convergencia se produce ajustando el precio de mercado a su precio teórico. Esta relación nos brinda valiosa información sobre el rezago existen del sector agrícola en relación a los otros componentes del Índice Merval.</w:t>
            </w:r>
          </w:p>
        </w:tc>
        <w:tc>
          <w:tcPr>
            <w:tcW w:w="5170" w:type="dxa"/>
          </w:tcPr>
          <w:p w:rsidR="00FF280B" w:rsidRPr="004D4BB0" w:rsidRDefault="00FF280B" w:rsidP="00FF280B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  <w:p w:rsidR="00FF280B" w:rsidRPr="004D4BB0" w:rsidRDefault="00FF280B" w:rsidP="004D4BB0">
            <w:pPr>
              <w:jc w:val="both"/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 xml:space="preserve">Al día de la fecha existe un diferencial de 2 centavos entre el precio de mercado del índice agrícola (0.78 centavos de dólar) y su índice teórico (0.76 centavos de dólar). Se puede apreciar que el sector agrícola no ha experimentado una sobrevaluación significativa en relación al resto de las empresas componentes del Índice Merval. </w:t>
            </w:r>
          </w:p>
          <w:p w:rsidR="009E00A7" w:rsidRPr="004D4BB0" w:rsidRDefault="009E00A7" w:rsidP="009E00A7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</w:tc>
      </w:tr>
      <w:tr w:rsidR="009E00A7" w:rsidRPr="004D4BB0" w:rsidTr="004D4BB0">
        <w:trPr>
          <w:trHeight w:val="2107"/>
        </w:trPr>
        <w:tc>
          <w:tcPr>
            <w:tcW w:w="10457" w:type="dxa"/>
            <w:gridSpan w:val="2"/>
          </w:tcPr>
          <w:p w:rsidR="00FF280B" w:rsidRPr="004D4BB0" w:rsidRDefault="00FF280B" w:rsidP="009E00A7">
            <w:pPr>
              <w:rPr>
                <w:rFonts w:ascii="Helvetica" w:hAnsi="Helvetica" w:cs="Helvetica"/>
                <w:sz w:val="40"/>
                <w:szCs w:val="40"/>
                <w:lang w:val="es-AR"/>
              </w:rPr>
            </w:pPr>
          </w:p>
          <w:p w:rsidR="009E00A7" w:rsidRPr="004D4BB0" w:rsidRDefault="00FF280B" w:rsidP="009E00A7">
            <w:pPr>
              <w:rPr>
                <w:rFonts w:ascii="Helvetica" w:hAnsi="Helvetica" w:cs="Helvetica"/>
                <w:color w:val="002060"/>
                <w:sz w:val="32"/>
                <w:szCs w:val="32"/>
                <w:lang w:val="es-AR"/>
              </w:rPr>
            </w:pPr>
            <w:r w:rsidRPr="004D4BB0">
              <w:rPr>
                <w:rFonts w:ascii="Helvetica" w:hAnsi="Helvetica" w:cs="Helvetica"/>
                <w:color w:val="002060"/>
                <w:sz w:val="32"/>
                <w:szCs w:val="32"/>
                <w:lang w:val="es-AR"/>
              </w:rPr>
              <w:t>Conclusiones</w:t>
            </w:r>
          </w:p>
          <w:p w:rsidR="00E3550F" w:rsidRPr="004D4BB0" w:rsidRDefault="00E3550F" w:rsidP="009E00A7">
            <w:pPr>
              <w:rPr>
                <w:rFonts w:ascii="Helvetica" w:hAnsi="Helvetica" w:cs="Helvetica"/>
                <w:sz w:val="28"/>
                <w:szCs w:val="28"/>
                <w:lang w:val="es-AR"/>
              </w:rPr>
            </w:pPr>
          </w:p>
          <w:p w:rsidR="009E00A7" w:rsidRPr="004D4BB0" w:rsidRDefault="00E3550F" w:rsidP="004D4BB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7F7F7F" w:themeColor="text1" w:themeTint="80"/>
                <w:sz w:val="20"/>
                <w:szCs w:val="20"/>
                <w:lang w:val="es-AR"/>
              </w:rPr>
              <w:t>CADO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 xml:space="preserve"> se encuentra subvaluada dentro del sector agrícola en dólares. El precio teórico en pesos es de AR $ 11.70 para converger al valor de diciembre de 2011.</w:t>
            </w:r>
          </w:p>
          <w:p w:rsidR="00FF280B" w:rsidRPr="004D4BB0" w:rsidRDefault="00FF280B" w:rsidP="004D4BB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7F7F7F" w:themeColor="text1" w:themeTint="80"/>
                <w:sz w:val="20"/>
                <w:szCs w:val="20"/>
                <w:lang w:val="es-AR"/>
              </w:rPr>
              <w:t>CRESUD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 xml:space="preserve"> ha logrado converger en dólares a su precio de 2011 dejando espacio para una potencial sobrevaluación y suba por expectativas. </w:t>
            </w:r>
          </w:p>
          <w:p w:rsidR="00FF280B" w:rsidRPr="004D4BB0" w:rsidRDefault="00FF280B" w:rsidP="004D4BB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4D4BB0">
              <w:rPr>
                <w:rFonts w:ascii="Helvetica" w:hAnsi="Helvetica" w:cs="Helvetica"/>
                <w:b/>
                <w:color w:val="7F7F7F" w:themeColor="text1" w:themeTint="80"/>
                <w:sz w:val="20"/>
                <w:szCs w:val="20"/>
                <w:lang w:val="es-AR"/>
              </w:rPr>
              <w:t>AGRO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 xml:space="preserve"> 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>ha logrado converger en dólares a su precio de 2011 dejando espacio para una potencial sobrevaluación y suba por expectativas</w:t>
            </w:r>
            <w:r w:rsidRPr="004D4BB0">
              <w:rPr>
                <w:rFonts w:ascii="Helvetica" w:hAnsi="Helvetica" w:cs="Helvetica"/>
                <w:color w:val="7F7F7F" w:themeColor="text1" w:themeTint="80"/>
                <w:sz w:val="20"/>
                <w:szCs w:val="20"/>
                <w:lang w:val="es-AR"/>
              </w:rPr>
              <w:t>.</w:t>
            </w:r>
          </w:p>
        </w:tc>
      </w:tr>
    </w:tbl>
    <w:p w:rsidR="009F4C49" w:rsidRDefault="009F4C49" w:rsidP="009F4C49">
      <w:pPr>
        <w:rPr>
          <w:rFonts w:ascii="Helvetica" w:hAnsi="Helvetica" w:cs="Helvetica"/>
          <w:sz w:val="28"/>
          <w:szCs w:val="28"/>
          <w:lang w:val="es-AR"/>
        </w:rPr>
      </w:pPr>
      <w:bookmarkStart w:id="0" w:name="_GoBack"/>
      <w:bookmarkEnd w:id="0"/>
    </w:p>
    <w:p w:rsidR="009F4C49" w:rsidRDefault="009F4C49" w:rsidP="009F4C49">
      <w:pPr>
        <w:rPr>
          <w:rFonts w:ascii="Helvetica" w:hAnsi="Helvetica" w:cs="Helvetica"/>
          <w:sz w:val="28"/>
          <w:szCs w:val="28"/>
          <w:lang w:val="es-AR"/>
        </w:rPr>
      </w:pPr>
    </w:p>
    <w:p w:rsidR="009F4C49" w:rsidRPr="009F4C49" w:rsidRDefault="009F4C49" w:rsidP="009F4C49">
      <w:pPr>
        <w:rPr>
          <w:rFonts w:ascii="Helvetica" w:hAnsi="Helvetica" w:cs="Helvetica"/>
          <w:sz w:val="20"/>
          <w:szCs w:val="20"/>
        </w:rPr>
      </w:pPr>
    </w:p>
    <w:sectPr w:rsidR="009F4C49" w:rsidRPr="009F4C49" w:rsidSect="00674270">
      <w:headerReference w:type="default" r:id="rId11"/>
      <w:footerReference w:type="default" r:id="rId12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CF" w:rsidRDefault="00E70DCF" w:rsidP="00674270">
      <w:pPr>
        <w:spacing w:after="0" w:line="240" w:lineRule="auto"/>
      </w:pPr>
      <w:r>
        <w:separator/>
      </w:r>
    </w:p>
  </w:endnote>
  <w:endnote w:type="continuationSeparator" w:id="0">
    <w:p w:rsidR="00E70DCF" w:rsidRDefault="00E70DCF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505" w:rsidRPr="00A82505" w:rsidRDefault="00A82505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4D4BB0">
          <w:rPr>
            <w:rFonts w:ascii="Helvetica" w:hAnsi="Helvetica" w:cs="Helvetica"/>
            <w:noProof/>
          </w:rPr>
          <w:t>2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674270" w:rsidRPr="00674270" w:rsidRDefault="00674270" w:rsidP="00674270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CF" w:rsidRDefault="00E70DCF" w:rsidP="00674270">
      <w:pPr>
        <w:spacing w:after="0" w:line="240" w:lineRule="auto"/>
      </w:pPr>
      <w:r>
        <w:separator/>
      </w:r>
    </w:p>
  </w:footnote>
  <w:footnote w:type="continuationSeparator" w:id="0">
    <w:p w:rsidR="00E70DCF" w:rsidRDefault="00E70DCF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30"/>
      <w:gridCol w:w="3596"/>
    </w:tblGrid>
    <w:tr w:rsidR="00B00EA2" w:rsidRPr="00A82505" w:rsidTr="00B00EA2">
      <w:trPr>
        <w:trHeight w:val="993"/>
      </w:trPr>
      <w:tc>
        <w:tcPr>
          <w:tcW w:w="2737" w:type="pct"/>
          <w:vAlign w:val="center"/>
        </w:tcPr>
        <w:p w:rsidR="00674270" w:rsidRPr="00674270" w:rsidRDefault="00B00EA2" w:rsidP="00B00EA2">
          <w:pPr>
            <w:pStyle w:val="Encabezado"/>
            <w:rPr>
              <w:rFonts w:ascii="Helvetica" w:hAnsi="Helvetica" w:cs="Helvetica"/>
              <w:lang w:val="es-AR"/>
            </w:rPr>
          </w:pPr>
          <w:r w:rsidRPr="00B00EA2">
            <w:rPr>
              <w:rFonts w:ascii="Helvetica" w:hAnsi="Helvetica" w:cs="Helvetica"/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-1016000</wp:posOffset>
                </wp:positionV>
                <wp:extent cx="4400550" cy="928370"/>
                <wp:effectExtent l="0" t="0" r="0" b="5080"/>
                <wp:wrapTight wrapText="bothSides">
                  <wp:wrapPolygon edited="0">
                    <wp:start x="0" y="0"/>
                    <wp:lineTo x="0" y="21275"/>
                    <wp:lineTo x="21506" y="21275"/>
                    <wp:lineTo x="21506" y="0"/>
                    <wp:lineTo x="0" y="0"/>
                  </wp:wrapPolygon>
                </wp:wrapTight>
                <wp:docPr id="1" name="Imagen 1" descr="D:\Descargas\test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escargas\test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00550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63" w:type="pct"/>
          <w:vAlign w:val="center"/>
        </w:tcPr>
        <w:p w:rsidR="00B00EA2" w:rsidRPr="004872BE" w:rsidRDefault="00B00EA2" w:rsidP="00B00EA2">
          <w:pPr>
            <w:pStyle w:val="Piedepgina"/>
            <w:jc w:val="right"/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</w:pPr>
          <w:r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  <w:br/>
          </w:r>
          <w:r w:rsidRPr="004872BE">
            <w:rPr>
              <w:rFonts w:ascii="Helvetica" w:hAnsi="Helvetica" w:cs="Helvetica"/>
              <w:b/>
              <w:noProof/>
              <w:color w:val="44546A" w:themeColor="text2"/>
              <w:sz w:val="20"/>
              <w:szCs w:val="20"/>
              <w:lang w:val="en-US"/>
            </w:rPr>
            <w:t>Bull Market Brokers SA ALyC</w:t>
          </w:r>
        </w:p>
        <w:p w:rsidR="00B00EA2" w:rsidRPr="00190EAB" w:rsidRDefault="00B00EA2" w:rsidP="00B00EA2">
          <w:pPr>
            <w:pStyle w:val="Piedepgina"/>
            <w:jc w:val="right"/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</w:pPr>
          <w:r w:rsidRPr="00190EAB">
            <w:rPr>
              <w:rFonts w:ascii="Helvetica" w:eastAsia="Times New Roman" w:hAnsi="Helvetica" w:cs="Helvetica"/>
              <w:color w:val="44546A" w:themeColor="text2"/>
              <w:sz w:val="18"/>
              <w:szCs w:val="18"/>
              <w:lang w:val="en-US"/>
            </w:rPr>
            <w:t>+54 11 5353 4420</w:t>
          </w:r>
          <w:r w:rsidRPr="00190EAB"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  <w:br/>
            <w:t>Bouchard 680 Piso 8 – C.A.B.A.</w:t>
          </w:r>
        </w:p>
        <w:p w:rsidR="00B00EA2" w:rsidRPr="004872BE" w:rsidRDefault="00E70DCF" w:rsidP="00B00EA2">
          <w:pPr>
            <w:pStyle w:val="Piedepgina"/>
            <w:jc w:val="right"/>
            <w:rPr>
              <w:rFonts w:ascii="Helvetica" w:hAnsi="Helvetica" w:cs="Helvetica"/>
              <w:noProof/>
              <w:color w:val="44546A" w:themeColor="text2"/>
              <w:sz w:val="18"/>
              <w:szCs w:val="18"/>
              <w:lang w:val="en-US"/>
            </w:rPr>
          </w:pPr>
          <w:hyperlink r:id="rId2" w:history="1">
            <w:r w:rsidR="00B00EA2" w:rsidRPr="00CF64C2">
              <w:rPr>
                <w:rStyle w:val="Hipervnculo"/>
                <w:rFonts w:ascii="Helvetica" w:eastAsia="Times New Roman" w:hAnsi="Helvetica" w:cs="Helvetica"/>
                <w:sz w:val="18"/>
                <w:szCs w:val="18"/>
                <w:lang w:val="en-US"/>
              </w:rPr>
              <w:t>www.bullmarketbrokers.com</w:t>
            </w:r>
          </w:hyperlink>
        </w:p>
        <w:p w:rsidR="00674270" w:rsidRPr="00A82505" w:rsidRDefault="00674270" w:rsidP="00B00EA2">
          <w:pPr>
            <w:pStyle w:val="Encabezado"/>
            <w:jc w:val="right"/>
            <w:rPr>
              <w:rFonts w:ascii="Helvetica" w:hAnsi="Helvetica" w:cs="Helvetica"/>
            </w:rPr>
          </w:pPr>
        </w:p>
      </w:tc>
    </w:tr>
  </w:tbl>
  <w:p w:rsidR="00674270" w:rsidRPr="00674270" w:rsidRDefault="00674270" w:rsidP="00674270">
    <w:pPr>
      <w:pStyle w:val="Encabezado"/>
      <w:rPr>
        <w:rFonts w:ascii="Helvetica" w:hAnsi="Helvetica" w:cs="Helvetica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12C8"/>
    <w:multiLevelType w:val="hybridMultilevel"/>
    <w:tmpl w:val="5DA295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32E1E"/>
    <w:multiLevelType w:val="hybridMultilevel"/>
    <w:tmpl w:val="02DACA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7"/>
  </w:num>
  <w:num w:numId="4">
    <w:abstractNumId w:val="9"/>
  </w:num>
  <w:num w:numId="5">
    <w:abstractNumId w:val="23"/>
  </w:num>
  <w:num w:numId="6">
    <w:abstractNumId w:val="5"/>
  </w:num>
  <w:num w:numId="7">
    <w:abstractNumId w:val="19"/>
  </w:num>
  <w:num w:numId="8">
    <w:abstractNumId w:val="10"/>
  </w:num>
  <w:num w:numId="9">
    <w:abstractNumId w:val="15"/>
  </w:num>
  <w:num w:numId="10">
    <w:abstractNumId w:val="0"/>
  </w:num>
  <w:num w:numId="11">
    <w:abstractNumId w:val="26"/>
  </w:num>
  <w:num w:numId="12">
    <w:abstractNumId w:val="2"/>
  </w:num>
  <w:num w:numId="13">
    <w:abstractNumId w:val="8"/>
  </w:num>
  <w:num w:numId="14">
    <w:abstractNumId w:val="1"/>
  </w:num>
  <w:num w:numId="15">
    <w:abstractNumId w:val="4"/>
  </w:num>
  <w:num w:numId="16">
    <w:abstractNumId w:val="22"/>
  </w:num>
  <w:num w:numId="17">
    <w:abstractNumId w:val="21"/>
  </w:num>
  <w:num w:numId="18">
    <w:abstractNumId w:val="7"/>
  </w:num>
  <w:num w:numId="19">
    <w:abstractNumId w:val="16"/>
  </w:num>
  <w:num w:numId="20">
    <w:abstractNumId w:val="14"/>
  </w:num>
  <w:num w:numId="21">
    <w:abstractNumId w:val="6"/>
  </w:num>
  <w:num w:numId="22">
    <w:abstractNumId w:val="20"/>
  </w:num>
  <w:num w:numId="23">
    <w:abstractNumId w:val="12"/>
  </w:num>
  <w:num w:numId="24">
    <w:abstractNumId w:val="24"/>
  </w:num>
  <w:num w:numId="25">
    <w:abstractNumId w:val="11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C1A8A"/>
    <w:rsid w:val="0011462C"/>
    <w:rsid w:val="00125A57"/>
    <w:rsid w:val="00175357"/>
    <w:rsid w:val="00190EAB"/>
    <w:rsid w:val="00192702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310BC8"/>
    <w:rsid w:val="00320CE4"/>
    <w:rsid w:val="00331108"/>
    <w:rsid w:val="00352550"/>
    <w:rsid w:val="0037236F"/>
    <w:rsid w:val="00376DAA"/>
    <w:rsid w:val="003A3AE8"/>
    <w:rsid w:val="003C2A55"/>
    <w:rsid w:val="003D34BA"/>
    <w:rsid w:val="003D5851"/>
    <w:rsid w:val="003D7296"/>
    <w:rsid w:val="0040403C"/>
    <w:rsid w:val="00423BE9"/>
    <w:rsid w:val="0045058A"/>
    <w:rsid w:val="004535A5"/>
    <w:rsid w:val="004629D3"/>
    <w:rsid w:val="004665F2"/>
    <w:rsid w:val="004A1272"/>
    <w:rsid w:val="004B0FD3"/>
    <w:rsid w:val="004D0B3B"/>
    <w:rsid w:val="004D4BB0"/>
    <w:rsid w:val="004E11BB"/>
    <w:rsid w:val="0052482E"/>
    <w:rsid w:val="00535309"/>
    <w:rsid w:val="005947DE"/>
    <w:rsid w:val="005B1084"/>
    <w:rsid w:val="005E516B"/>
    <w:rsid w:val="005F00A2"/>
    <w:rsid w:val="005F5159"/>
    <w:rsid w:val="00617D32"/>
    <w:rsid w:val="00624AD7"/>
    <w:rsid w:val="006367F0"/>
    <w:rsid w:val="00641AE6"/>
    <w:rsid w:val="00644EE5"/>
    <w:rsid w:val="00674270"/>
    <w:rsid w:val="006752AD"/>
    <w:rsid w:val="006839D1"/>
    <w:rsid w:val="006A5170"/>
    <w:rsid w:val="006C3E86"/>
    <w:rsid w:val="006E5A22"/>
    <w:rsid w:val="00734C37"/>
    <w:rsid w:val="00793272"/>
    <w:rsid w:val="007F1833"/>
    <w:rsid w:val="00836C4A"/>
    <w:rsid w:val="00843279"/>
    <w:rsid w:val="00857850"/>
    <w:rsid w:val="008728DE"/>
    <w:rsid w:val="008B619D"/>
    <w:rsid w:val="008B6BD2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9E00A7"/>
    <w:rsid w:val="009F4C49"/>
    <w:rsid w:val="00A054AA"/>
    <w:rsid w:val="00A17106"/>
    <w:rsid w:val="00A33251"/>
    <w:rsid w:val="00A45602"/>
    <w:rsid w:val="00A5710F"/>
    <w:rsid w:val="00A81B28"/>
    <w:rsid w:val="00A82505"/>
    <w:rsid w:val="00AB1A2E"/>
    <w:rsid w:val="00AB5CBE"/>
    <w:rsid w:val="00AE34B2"/>
    <w:rsid w:val="00AF7FCF"/>
    <w:rsid w:val="00B00EA2"/>
    <w:rsid w:val="00B22812"/>
    <w:rsid w:val="00B23D66"/>
    <w:rsid w:val="00B8062C"/>
    <w:rsid w:val="00B85CB6"/>
    <w:rsid w:val="00B91B1A"/>
    <w:rsid w:val="00BB3BBC"/>
    <w:rsid w:val="00C125BD"/>
    <w:rsid w:val="00C20C89"/>
    <w:rsid w:val="00C22C67"/>
    <w:rsid w:val="00C52A12"/>
    <w:rsid w:val="00C643BE"/>
    <w:rsid w:val="00C75F43"/>
    <w:rsid w:val="00CA3D4A"/>
    <w:rsid w:val="00D132DA"/>
    <w:rsid w:val="00D226EE"/>
    <w:rsid w:val="00D345DB"/>
    <w:rsid w:val="00D77D61"/>
    <w:rsid w:val="00D90694"/>
    <w:rsid w:val="00DD1EEB"/>
    <w:rsid w:val="00DE653E"/>
    <w:rsid w:val="00DE6589"/>
    <w:rsid w:val="00E21301"/>
    <w:rsid w:val="00E22577"/>
    <w:rsid w:val="00E3550F"/>
    <w:rsid w:val="00E5266B"/>
    <w:rsid w:val="00E547B8"/>
    <w:rsid w:val="00E56611"/>
    <w:rsid w:val="00E61334"/>
    <w:rsid w:val="00E70DCF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F04DF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8D1D84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  <w:style w:type="table" w:styleId="Tabladecuadrcula7concolores-nfasis3">
    <w:name w:val="Grid Table 7 Colorful Accent 3"/>
    <w:basedOn w:val="Tablanormal"/>
    <w:uiPriority w:val="52"/>
    <w:rsid w:val="00FF280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FF280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ullmarketbrokers.com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40949-ADC8-430D-BC4F-6D180ED4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3</cp:revision>
  <cp:lastPrinted>2014-07-03T19:09:00Z</cp:lastPrinted>
  <dcterms:created xsi:type="dcterms:W3CDTF">2016-05-12T21:52:00Z</dcterms:created>
  <dcterms:modified xsi:type="dcterms:W3CDTF">2016-05-13T15:00:00Z</dcterms:modified>
</cp:coreProperties>
</file>