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0186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59FA36CB">
      <w:pPr>
        <w:pStyle w:val="2"/>
        <w:keepNext w:val="0"/>
        <w:keepLines w:val="0"/>
        <w:widowControl/>
        <w:suppressLineNumbers w:val="0"/>
      </w:pPr>
      <w:r>
        <w:t>股市行情复盘与板块策略分析会议纪要</w:t>
      </w:r>
    </w:p>
    <w:p w14:paraId="79269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</w:t>
      </w:r>
    </w:p>
    <w:p w14:paraId="037860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：大盘走势研判、各板块技术分析及操作策略</w:t>
      </w:r>
    </w:p>
    <w:p w14:paraId="230F2D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：大盘维持震荡，科创板及半导体警惕高位风险，部分板块关注支撑位企稳信号</w:t>
      </w:r>
    </w:p>
    <w:p w14:paraId="33AF461B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1CE7CF62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5FD405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当前态势</w:t>
      </w:r>
      <w:r>
        <w:t>：今日高开高走，突破上周四阴线实体中点，反弹偏强 。</w:t>
      </w:r>
    </w:p>
    <w:p w14:paraId="7BA93C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区间判断</w:t>
      </w:r>
      <w:r>
        <w:t>：行情归纳为 4115~4200 点区间震荡 。</w:t>
      </w:r>
    </w:p>
    <w:p w14:paraId="28A8EA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压力位</w:t>
      </w:r>
      <w:r>
        <w:t>：4200 点压力较重，短期直接突破希望不大 。</w:t>
      </w:r>
    </w:p>
    <w:p w14:paraId="7A9263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：4115 点 。</w:t>
      </w:r>
    </w:p>
    <w:p w14:paraId="77C2D0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后续推演</w:t>
      </w:r>
      <w:r>
        <w:t>：</w:t>
      </w:r>
    </w:p>
    <w:p w14:paraId="3948B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中性情景</w:t>
      </w:r>
      <w:r>
        <w:t>：若未来 2~4 周在此区间震荡，视为中级调整，后续有望继续上涨 。</w:t>
      </w:r>
    </w:p>
    <w:p w14:paraId="0F2074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风险情景</w:t>
      </w:r>
      <w:r>
        <w:t>：若本周或下周跌破 4115 点，可能下探至 4000 点附近 。</w:t>
      </w:r>
    </w:p>
    <w:p w14:paraId="655CCA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倾向性判断</w:t>
      </w:r>
      <w:r>
        <w:t>：目前征兆不明显，倾向于在 4115~4200 点间维持震荡 。</w:t>
      </w:r>
    </w:p>
    <w:p w14:paraId="68A8B37D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08DAAB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：短期关注 16,000 点压力，突破难度较大 。</w:t>
      </w:r>
    </w:p>
    <w:p w14:paraId="46EA63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走势预判</w:t>
      </w:r>
      <w:r>
        <w:t>：若未来 4 周在 15,200~16,200 点区间震荡，将演变为横盘中继，后续可看涨 。</w:t>
      </w:r>
    </w:p>
    <w:p w14:paraId="50111CF9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04532D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当前态势</w:t>
      </w:r>
      <w:r>
        <w:t>：在 3890~4090 点区间震荡 。</w:t>
      </w:r>
    </w:p>
    <w:p w14:paraId="6D1520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结构判断</w:t>
      </w:r>
      <w:r>
        <w:t>：未跌破 3890 点，仍属上涨结构 。</w:t>
      </w:r>
    </w:p>
    <w:p w14:paraId="3289B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后续预判</w:t>
      </w:r>
      <w:r>
        <w:t>：倾向于在 4000 点附近维持 2~4 周的震荡 。</w:t>
      </w:r>
    </w:p>
    <w:p w14:paraId="0E2EB728">
      <w:pPr>
        <w:pStyle w:val="4"/>
        <w:keepNext w:val="0"/>
        <w:keepLines w:val="0"/>
        <w:widowControl/>
        <w:suppressLineNumbers w:val="0"/>
      </w:pPr>
      <w:r>
        <w:t>4. 科创板</w:t>
      </w:r>
    </w:p>
    <w:p w14:paraId="680103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：科创 50 指数触及大级别通道上轨，且连续出现天量，存在大规模资金出货嫌疑，大级别调整可能性较大 。</w:t>
      </w:r>
    </w:p>
    <w:p w14:paraId="37EB8B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操作建议</w:t>
      </w:r>
      <w:r>
        <w:t>：</w:t>
      </w:r>
    </w:p>
    <w:p w14:paraId="07B8B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持仓者</w:t>
      </w:r>
      <w:r>
        <w:t>：建议减仓，用剩余仓位博弈后续空间，避免盲目持有 。</w:t>
      </w:r>
    </w:p>
    <w:p w14:paraId="4746E8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空仓者</w:t>
      </w:r>
      <w:r>
        <w:t>：当前不符合买入条件，不建议介入 。</w:t>
      </w:r>
    </w:p>
    <w:p w14:paraId="785A8D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心态管理</w:t>
      </w:r>
      <w:r>
        <w:t>：接受踏空或止损常态，不强迫交易，依据知识储备识别风险而非直觉 。</w:t>
      </w:r>
    </w:p>
    <w:p w14:paraId="6560CA97">
      <w:pPr>
        <w:pStyle w:val="3"/>
        <w:keepNext w:val="0"/>
        <w:keepLines w:val="0"/>
        <w:widowControl/>
        <w:suppressLineNumbers w:val="0"/>
      </w:pPr>
      <w:r>
        <w:t>二、 行业板块详细分析</w:t>
      </w:r>
    </w:p>
    <w:p w14:paraId="1B5FC6BA">
      <w:pPr>
        <w:pStyle w:val="4"/>
        <w:keepNext w:val="0"/>
        <w:keepLines w:val="0"/>
        <w:widowControl/>
        <w:suppressLineNumbers w:val="0"/>
      </w:pPr>
      <w:r>
        <w:t>1. 证券板块</w:t>
      </w:r>
    </w:p>
    <w:p w14:paraId="4FA7AD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：近期稍显活跃，但未具备起势条件 。</w:t>
      </w:r>
    </w:p>
    <w:p w14:paraId="0E4883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>：</w:t>
      </w:r>
    </w:p>
    <w:p w14:paraId="7B84C6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观察区间</w:t>
      </w:r>
      <w:r>
        <w:t>：1640~1710 点。若未来 2~4 周在此横盘，可能形成阶段性底部 。</w:t>
      </w:r>
    </w:p>
    <w:p w14:paraId="3DA022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风险位</w:t>
      </w:r>
      <w:r>
        <w:t>：若无法站上 1640 点，可能下跌至 1500 点 。</w:t>
      </w:r>
    </w:p>
    <w:p w14:paraId="67044E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：勿操之过急，保持观望 。</w:t>
      </w:r>
    </w:p>
    <w:p w14:paraId="69B2E088">
      <w:pPr>
        <w:pStyle w:val="4"/>
        <w:keepNext w:val="0"/>
        <w:keepLines w:val="0"/>
        <w:widowControl/>
        <w:suppressLineNumbers w:val="0"/>
      </w:pPr>
      <w:r>
        <w:t>2. 科技与军工</w:t>
      </w:r>
    </w:p>
    <w:p w14:paraId="5AF1CE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</w:t>
      </w:r>
    </w:p>
    <w:p w14:paraId="041463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：严重超买，频繁爆量，行情进入尾声阶段 。</w:t>
      </w:r>
    </w:p>
    <w:p w14:paraId="68BF3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目标位</w:t>
      </w:r>
      <w:r>
        <w:t>：指数看至 1000 点附近 。</w:t>
      </w:r>
    </w:p>
    <w:p w14:paraId="45BDC4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：不鼓励开新仓；持仓者以保护性止盈为主，止盈位需不断上移并收紧（如从大阳线低点调整为实体中点） 。</w:t>
      </w:r>
    </w:p>
    <w:p w14:paraId="329CEF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：严重超买，仅可用剩余仓位博弈，不开新仓 。强调严格执行止盈，破位即走，不存侥幸心理 。</w:t>
      </w:r>
    </w:p>
    <w:p w14:paraId="6C6F77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：持续爆量，警惕“天量天价”，期待洗盘调整形成理想中继形态后再看涨 。</w:t>
      </w:r>
    </w:p>
    <w:p w14:paraId="0E3ED5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：在 5620~6000 点震荡，有望演变为上涨中继，后续看涨 。</w:t>
      </w:r>
    </w:p>
    <w:p w14:paraId="06F9D6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：创新高但伴随爆量及冲高回落，行情进入尾声；2000 点关口风险极大，超出可操作范围 。</w:t>
      </w:r>
    </w:p>
    <w:p w14:paraId="140C3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：归纳为 6335~7053 点区间，无暴量，沿上升通道阶梯式上涨，维持看涨 。</w:t>
      </w:r>
    </w:p>
    <w:p w14:paraId="7584DE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军工细分</w:t>
      </w:r>
      <w:r>
        <w:t>：</w:t>
      </w:r>
    </w:p>
    <w:p w14:paraId="51CC20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航天装备</w:t>
      </w:r>
      <w:r>
        <w:t>：6000 点有支撑但无反转信号，仅为正常反弹 。</w:t>
      </w:r>
    </w:p>
    <w:p w14:paraId="00C362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>：1800 点附近徘徊，处于上周四阴线范围内，不构成恢复上涨信号 。</w:t>
      </w:r>
    </w:p>
    <w:p w14:paraId="0450B1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>：1450 点有支撑，未站上 1500 点前以观望为主 。</w:t>
      </w:r>
    </w:p>
    <w:p w14:paraId="4B3FA7BE">
      <w:pPr>
        <w:pStyle w:val="4"/>
        <w:keepNext w:val="0"/>
        <w:keepLines w:val="0"/>
        <w:widowControl/>
        <w:suppressLineNumbers w:val="0"/>
      </w:pPr>
      <w:r>
        <w:t>3. 能源与电力</w:t>
      </w:r>
    </w:p>
    <w:p w14:paraId="52E484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：冲高回落未站稳 1800 点，暂观望；站稳后可恢复看涨 。</w:t>
      </w:r>
    </w:p>
    <w:p w14:paraId="63465A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：接近 1100 点会有反弹，但性质为反弹非反转 。</w:t>
      </w:r>
    </w:p>
    <w:p w14:paraId="07AA09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：重回 2288 点之上，但未过周四高点，视为短期分界线；若本周站稳 2288 点可恢复看涨，否则可能回调至 2200 点 。</w:t>
      </w:r>
    </w:p>
    <w:p w14:paraId="2BBDF2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：4000 点遇阻回落，待调整后再看 。</w:t>
      </w:r>
    </w:p>
    <w:p w14:paraId="4BD6C6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：1433~1500 点区间震荡，方向未明 。</w:t>
      </w:r>
    </w:p>
    <w:p w14:paraId="4D58AE6E">
      <w:pPr>
        <w:pStyle w:val="4"/>
        <w:keepNext w:val="0"/>
        <w:keepLines w:val="0"/>
        <w:widowControl/>
        <w:suppressLineNumbers w:val="0"/>
      </w:pPr>
      <w:r>
        <w:t>4. 电池与光伏</w:t>
      </w:r>
    </w:p>
    <w:p w14:paraId="6AED8E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</w:t>
      </w:r>
    </w:p>
    <w:p w14:paraId="607302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关键位</w:t>
      </w:r>
      <w:r>
        <w:t>：1000 点反复争夺，今日破位未必有效 。</w:t>
      </w:r>
    </w:p>
    <w:p w14:paraId="64578C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支撑位</w:t>
      </w:r>
      <w:r>
        <w:t>：关注 950 点及 900 点 。</w:t>
      </w:r>
    </w:p>
    <w:p w14:paraId="307B4B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：不抢位置，等待到达支撑位并出现横盘信号后恢复做多 。</w:t>
      </w:r>
    </w:p>
    <w:p w14:paraId="4EF043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</w:t>
      </w:r>
    </w:p>
    <w:p w14:paraId="5A0397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形态</w:t>
      </w:r>
      <w:r>
        <w:t>：大规模横盘，收长下影线 。</w:t>
      </w:r>
    </w:p>
    <w:p w14:paraId="455276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</w:t>
      </w:r>
      <w:r>
        <w:t>：大级别主升浪目标看至 8888 点 。</w:t>
      </w:r>
    </w:p>
    <w:p w14:paraId="27EBED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：只要不跌破 600 点，保持高度乐观，忽略区间内波动 。</w:t>
      </w:r>
    </w:p>
    <w:p w14:paraId="0AC1DBFA">
      <w:pPr>
        <w:pStyle w:val="4"/>
        <w:keepNext w:val="0"/>
        <w:keepLines w:val="0"/>
        <w:widowControl/>
        <w:suppressLineNumbers w:val="0"/>
      </w:pPr>
      <w:r>
        <w:t>5. 有色金属</w:t>
      </w:r>
    </w:p>
    <w:p w14:paraId="13B8EE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</w:t>
      </w:r>
      <w:r>
        <w:t>：反弹仍在周四阴线范围内，属下跌过程中的横盘，看跌 。</w:t>
      </w:r>
    </w:p>
    <w:p w14:paraId="0C9A50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：7000 点遇阻回落，未站稳前风险较大 。</w:t>
      </w:r>
    </w:p>
    <w:p w14:paraId="6DD11F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：回到 3821 点之上，若本周站稳，将在 3821~4121 点区间震荡一个月后考虑看涨；若失守 3821 点则看跌 。</w:t>
      </w:r>
    </w:p>
    <w:p w14:paraId="7C3ABD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：737~780 点震荡，暂无恢复上涨信号 。</w:t>
      </w:r>
    </w:p>
    <w:p w14:paraId="7A3E15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金属新材料</w:t>
      </w:r>
      <w:r>
        <w:t>：创新高，关注 3200 点压力；若回调至 3000 点附近可继续看涨 。</w:t>
      </w:r>
    </w:p>
    <w:p w14:paraId="4865D47F">
      <w:pPr>
        <w:pStyle w:val="4"/>
        <w:keepNext w:val="0"/>
        <w:keepLines w:val="0"/>
        <w:widowControl/>
        <w:suppressLineNumbers w:val="0"/>
      </w:pPr>
      <w:r>
        <w:t>6. 机械设备与其他</w:t>
      </w:r>
    </w:p>
    <w:p w14:paraId="09274A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>：创新高，继续看涨至大级别通道上轨 。</w:t>
      </w:r>
    </w:p>
    <w:p w14:paraId="64059E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：3120~3300 点震荡，维持一周有望突破 。</w:t>
      </w:r>
    </w:p>
    <w:p w14:paraId="2D146D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：1170 点停顿，向下破位风险大；除非站稳 1200 点，否则不做多 。</w:t>
      </w:r>
    </w:p>
    <w:p w14:paraId="2111F7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：反包周四阴线，维持看涨至通道上轨再考虑减仓；因下方有完美箱体，突破上轨可能性大 。</w:t>
      </w:r>
    </w:p>
    <w:p w14:paraId="741AED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玻璃/玻纤</w:t>
      </w:r>
      <w:r>
        <w:t>：</w:t>
      </w:r>
    </w:p>
    <w:p w14:paraId="6AF497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：突破趋势级通道上轨，超出预测范围 。</w:t>
      </w:r>
    </w:p>
    <w:p w14:paraId="157B57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</w:t>
      </w:r>
      <w:r>
        <w:t>：今日放天量，警惕诱多 。</w:t>
      </w:r>
    </w:p>
    <w:p w14:paraId="189C99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：被动跟踪，保护性止盈位设在今日低点，破位立即离场 。</w:t>
      </w:r>
    </w:p>
    <w:p w14:paraId="5A03B5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D7D95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BDCF1"/>
    <w:multiLevelType w:val="multilevel"/>
    <w:tmpl w:val="8A6BD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7AFCFD"/>
    <w:multiLevelType w:val="multilevel"/>
    <w:tmpl w:val="957AF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449FBF"/>
    <w:multiLevelType w:val="multilevel"/>
    <w:tmpl w:val="9D449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343F7A"/>
    <w:multiLevelType w:val="multilevel"/>
    <w:tmpl w:val="A0343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8B6B71"/>
    <w:multiLevelType w:val="multilevel"/>
    <w:tmpl w:val="B38B6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8F2714"/>
    <w:multiLevelType w:val="multilevel"/>
    <w:tmpl w:val="C98F2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8BBEB61"/>
    <w:multiLevelType w:val="multilevel"/>
    <w:tmpl w:val="D8BBE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6707DD"/>
    <w:multiLevelType w:val="multilevel"/>
    <w:tmpl w:val="E4670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9D91B9A"/>
    <w:multiLevelType w:val="multilevel"/>
    <w:tmpl w:val="49D91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F05E33C"/>
    <w:multiLevelType w:val="multilevel"/>
    <w:tmpl w:val="4F05E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A7C067D"/>
    <w:multiLevelType w:val="multilevel"/>
    <w:tmpl w:val="6A7C0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0"/>
  </w:num>
  <w:num w:numId="9">
    <w:abstractNumId w:val="2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94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2026-05-25T14:21:30Z</dcterms:created>
  <dc:creator>11</dc:creator>
  <cp:lastModifiedBy>赵振宇</cp:lastModifiedBy>
  <dcterms:modified xsi:type="dcterms:W3CDTF">2026-05-25T14:21:49Z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B1535E5B00AD4A95B86112D269CA974F_12</vt:lpwstr>
  </property>
</Properties>
</file>