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57A60">
      <w:pPr>
        <w:pStyle w:val="2"/>
        <w:keepNext w:val="0"/>
        <w:keepLines w:val="0"/>
        <w:widowControl/>
        <w:suppressLineNumbers w:val="0"/>
      </w:pPr>
      <w:r>
        <w:t>市场行情震荡分析与板块策略研判</w:t>
      </w:r>
    </w:p>
    <w:p w14:paraId="6CC271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：大盘及主要行业板块技术面走势分析与风险提示</w:t>
      </w:r>
    </w:p>
    <w:p w14:paraId="43ED1D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：市场处于下跌中继或双顶结构，短期以区间震荡为主，整体风险大于机会</w:t>
      </w:r>
    </w:p>
    <w:p w14:paraId="3FDAC9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分析依据</w:t>
      </w:r>
      <w:r>
        <w:t>：各大指数及细分板块关键技术位、K线形态及量价关系</w:t>
      </w:r>
    </w:p>
    <w:p w14:paraId="694267E1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当前大盘及各主要板块的技术走势，指出市场整体处于下跌中继或双顶结构，短期将在关键点位间维持震荡。强调金融、科技、医药等板块的具体支撑与压力位，提示投资者需警惕向下破位风险，避免盲目看涨，建议以防守和观察为主，等待明确的筑底或突破信号。</w:t>
      </w:r>
    </w:p>
    <w:p w14:paraId="4B57A831">
      <w:pPr>
        <w:pStyle w:val="3"/>
        <w:keepNext w:val="0"/>
        <w:keepLines w:val="0"/>
        <w:widowControl/>
        <w:suppressLineNumbers w:val="0"/>
      </w:pPr>
      <w:r>
        <w:t>一、 大盘指数走势分析</w:t>
      </w:r>
    </w:p>
    <w:p w14:paraId="73C409F5">
      <w:pPr>
        <w:pStyle w:val="4"/>
        <w:keepNext w:val="0"/>
        <w:keepLines w:val="0"/>
        <w:widowControl/>
        <w:suppressLineNumbers w:val="0"/>
      </w:pPr>
      <w:r>
        <w:t>1. 上证指数</w:t>
      </w:r>
    </w:p>
    <w:p w14:paraId="22446A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形态判断</w:t>
      </w:r>
      <w:r>
        <w:t>：今日低开高走收十字星，收盘价与昨日基本持平，行情在上周五阴线范围内波动，属于典型的“下跌中继”形态，后期向下风险较大 。</w:t>
      </w:r>
    </w:p>
    <w:p w14:paraId="0D2CBF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关键点位</w:t>
      </w:r>
      <w:r>
        <w:t>：上方边界为3900点，下方支撑位为3700点 。</w:t>
      </w:r>
    </w:p>
    <w:p w14:paraId="61E671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趋势展望</w:t>
      </w:r>
      <w:r>
        <w:t>：目前无强烈向上突破信号，短期将持续震荡 。</w:t>
      </w:r>
    </w:p>
    <w:p w14:paraId="45AD4C8C">
      <w:pPr>
        <w:pStyle w:val="4"/>
        <w:keepNext w:val="0"/>
        <w:keepLines w:val="0"/>
        <w:widowControl/>
        <w:suppressLineNumbers w:val="0"/>
      </w:pPr>
      <w:r>
        <w:t>2. 深证成指</w:t>
      </w:r>
    </w:p>
    <w:p w14:paraId="096673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形态判断</w:t>
      </w:r>
      <w:r>
        <w:t>：同样在上周五阴线范围内波动，上方14450点压力明确，暂不具备上行条件 。</w:t>
      </w:r>
    </w:p>
    <w:p w14:paraId="50A643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风险提示</w:t>
      </w:r>
      <w:r>
        <w:t>：上方形成“双顶”可能性较大，后期预计会有较深调整 。</w:t>
      </w:r>
    </w:p>
    <w:p w14:paraId="6B865EB8">
      <w:pPr>
        <w:pStyle w:val="4"/>
        <w:keepNext w:val="0"/>
        <w:keepLines w:val="0"/>
        <w:widowControl/>
        <w:suppressLineNumbers w:val="0"/>
      </w:pPr>
      <w:r>
        <w:t>3. 创业板指</w:t>
      </w:r>
    </w:p>
    <w:p w14:paraId="726321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形态判断</w:t>
      </w:r>
      <w:r>
        <w:t>：昨日大幅上涨后，今日低开低走回到上周五阴线范围，属于反弹后的停顿 。</w:t>
      </w:r>
    </w:p>
    <w:p w14:paraId="4C25AA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趋势展望</w:t>
      </w:r>
      <w:r>
        <w:t>：因前期反弹幅度较大，该震荡区间将维持一段时间，短期内无向上突破条件 。</w:t>
      </w:r>
    </w:p>
    <w:p w14:paraId="702EB316">
      <w:pPr>
        <w:pStyle w:val="4"/>
        <w:keepNext w:val="0"/>
        <w:keepLines w:val="0"/>
        <w:widowControl/>
        <w:suppressLineNumbers w:val="0"/>
      </w:pPr>
      <w:r>
        <w:t>4. 科创50</w:t>
      </w:r>
    </w:p>
    <w:p w14:paraId="69D422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形态判断</w:t>
      </w:r>
      <w:r>
        <w:t>：上方存在明确“双顶”结构，已从颈线位1900点被压制下来 。</w:t>
      </w:r>
    </w:p>
    <w:p w14:paraId="0CC559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关键点位</w:t>
      </w:r>
      <w:r>
        <w:t>：短期反弹高点看至2000点左右 。</w:t>
      </w:r>
    </w:p>
    <w:p w14:paraId="0DD0B8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风险提示</w:t>
      </w:r>
      <w:r>
        <w:t>：若形成横盘，应视为“双顶+下跌中继”结构，后期回落至1500点的风险较大，不可将昨日阳线单纯视为看涨信号 。</w:t>
      </w:r>
    </w:p>
    <w:p w14:paraId="5FD6F49C">
      <w:pPr>
        <w:pStyle w:val="3"/>
        <w:keepNext w:val="0"/>
        <w:keepLines w:val="0"/>
        <w:widowControl/>
        <w:suppressLineNumbers w:val="0"/>
      </w:pPr>
      <w:r>
        <w:t>二、 重点行业板块分析</w:t>
      </w:r>
    </w:p>
    <w:p w14:paraId="6A6FB657">
      <w:pPr>
        <w:pStyle w:val="4"/>
        <w:keepNext w:val="0"/>
        <w:keepLines w:val="0"/>
        <w:widowControl/>
        <w:suppressLineNumbers w:val="0"/>
      </w:pPr>
      <w:r>
        <w:t>1. 大金融板块</w:t>
      </w:r>
    </w:p>
    <w:p w14:paraId="1CCB31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银行</w:t>
      </w:r>
      <w:r>
        <w:t>：目前在1900~2000点之间震荡，2000点压力沉重，短期突破希望不大，需在此区域充分震荡 。</w:t>
      </w:r>
    </w:p>
    <w:p w14:paraId="2E49B9C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证券</w:t>
      </w:r>
      <w:r>
        <w:t>：低开收小阳线，在1720~1770点之间波动，行情收敛，临近方向选择，但上行确定性不足 。</w:t>
      </w:r>
    </w:p>
    <w:p w14:paraId="5982F8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保险</w:t>
      </w:r>
      <w:r>
        <w:t>：低开高走，回踩守住周一阳线实体中点，短期看好进一步上涨至3000点 。</w:t>
      </w:r>
    </w:p>
    <w:p w14:paraId="49300F61">
      <w:pPr>
        <w:pStyle w:val="4"/>
        <w:keepNext w:val="0"/>
        <w:keepLines w:val="0"/>
        <w:widowControl/>
        <w:suppressLineNumbers w:val="0"/>
      </w:pPr>
      <w:r>
        <w:t>2. 科技板块</w:t>
      </w:r>
    </w:p>
    <w:p w14:paraId="5ACE22F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r>
        <w:t>：反弹至9300点后精准回落，后续将在8000~9300点之间震荡，无向上突破信号 。</w:t>
      </w:r>
    </w:p>
    <w:p w14:paraId="70196C7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电子元件</w:t>
      </w:r>
      <w:r>
        <w:t>：在周一阴线范围内波动，预计震荡后将测试10000点压力，下跌趋势明确 。</w:t>
      </w:r>
    </w:p>
    <w:p w14:paraId="105594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：触及1400点压力，预计在1200~1400点之间维持震荡 。</w:t>
      </w:r>
    </w:p>
    <w:p w14:paraId="1CA807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>：反弹弱势，未触及5000点，因呈现明确“双顶”结构，下行风险更大，后期可能回落至4000点 。</w:t>
      </w:r>
    </w:p>
    <w:p w14:paraId="481FA5C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</w:t>
      </w:r>
      <w:r>
        <w:t>：仍在上周五阴线范围内，需观察未来3-5天能否守住1800点；若跌破则风险加剧 。</w:t>
      </w:r>
    </w:p>
    <w:p w14:paraId="32E0D46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IT服务/软件开发</w:t>
      </w:r>
      <w:r>
        <w:t>：IT服务仅在1000点区域反弹，无恢复上涨信号；软件开发虽有减速迹象但未掉头，不宜大举进攻 。</w:t>
      </w:r>
    </w:p>
    <w:p w14:paraId="13BBA53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通信设备</w:t>
      </w:r>
      <w:r>
        <w:t>：在上周五阴线范围内波动，非看涨信号，后期向下破位风险较大 。</w:t>
      </w:r>
    </w:p>
    <w:p w14:paraId="79E3D32F">
      <w:pPr>
        <w:pStyle w:val="4"/>
        <w:keepNext w:val="0"/>
        <w:keepLines w:val="0"/>
        <w:widowControl/>
        <w:suppressLineNumbers w:val="0"/>
      </w:pPr>
      <w:r>
        <w:t>3. 医药生物板块</w:t>
      </w:r>
    </w:p>
    <w:p w14:paraId="1D6C41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创新药</w:t>
      </w:r>
      <w:r>
        <w:t>：冲高回落卡在1050点，短期将在1000~1100点之间震荡 。</w:t>
      </w:r>
    </w:p>
    <w:p w14:paraId="2C6117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化学制药</w:t>
      </w:r>
      <w:r>
        <w:t>：在2500~2700点震荡，近三日未过上周五阴线实体中点，显现弱势，重点观察2500点支撑 。</w:t>
      </w:r>
    </w:p>
    <w:p w14:paraId="0C8D9A8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医疗服务</w:t>
      </w:r>
      <w:r>
        <w:t>：冲高回落，未突破5300点压力，走势不佳；重点关注5000点支撑，若未来两周能在5000~5600点横盘，再考虑看涨 。</w:t>
      </w:r>
    </w:p>
    <w:p w14:paraId="3B3C2F5C">
      <w:pPr>
        <w:pStyle w:val="4"/>
        <w:keepNext w:val="0"/>
        <w:keepLines w:val="0"/>
        <w:widowControl/>
        <w:suppressLineNumbers w:val="0"/>
      </w:pPr>
      <w:r>
        <w:t>4. 能源与资源板块</w:t>
      </w:r>
    </w:p>
    <w:p w14:paraId="7352FD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</w:t>
      </w:r>
      <w:r>
        <w:t>：反弹结构正常，有望进一步上涨至1927点左右 。</w:t>
      </w:r>
    </w:p>
    <w:p w14:paraId="6E6792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石油</w:t>
      </w:r>
      <w:r>
        <w:t>：即将触及1000点压力位，预计遇阻回落；若后续两周能在1100点附近有效震荡并突破，可看高至1200点 。</w:t>
      </w:r>
    </w:p>
    <w:p w14:paraId="33CAEE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电力</w:t>
      </w:r>
      <w:r>
        <w:t>：突破回踩2065点确认支撑，有望进一步涨至2200点左右 。</w:t>
      </w:r>
    </w:p>
    <w:p w14:paraId="7FEF13D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贵金属</w:t>
      </w:r>
      <w:r>
        <w:t>：高开高走，关注5270点压力。若能在该位置停顿5-55天并有效突破，头肩底形态成立，目标看至6000点；但目前潜力股不多，仅视为级别较大的反弹 。</w:t>
      </w:r>
    </w:p>
    <w:p w14:paraId="062E442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工业金属</w:t>
      </w:r>
      <w:r>
        <w:t>：小幅突破3462点，需观察接下来一周能否守住今日低点以确认有效突破，若成功则上看3820-4000点 。</w:t>
      </w:r>
    </w:p>
    <w:p w14:paraId="3803554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</w:t>
      </w:r>
      <w:r>
        <w:t>：在500点区域震荡，仅视为反弹，不具备反转条件 。</w:t>
      </w:r>
    </w:p>
    <w:p w14:paraId="1D7B60CD">
      <w:pPr>
        <w:pStyle w:val="4"/>
        <w:keepNext w:val="0"/>
        <w:keepLines w:val="0"/>
        <w:widowControl/>
        <w:suppressLineNumbers w:val="0"/>
      </w:pPr>
      <w:r>
        <w:t>5. 新能源与制造板块</w:t>
      </w:r>
    </w:p>
    <w:p w14:paraId="1594EDB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</w:t>
      </w:r>
      <w:r>
        <w:t>：在800点区域震荡，虽有减速但无筑底过程，短期难以上涨，需长时间震荡或面临继续下行风险 。</w:t>
      </w:r>
    </w:p>
    <w:p w14:paraId="0FEF4A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</w:t>
      </w:r>
      <w:r>
        <w:t>：受400点区域支撑反弹，目标看至440-454点（约10%区间），短期持续向下可能性不大，但恢复上涨需长时间震荡 。</w:t>
      </w:r>
    </w:p>
    <w:p w14:paraId="21A4798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</w:t>
      </w:r>
      <w:r>
        <w:t>：在4000~4400点之间（或周一阴线范围内）震荡，暂不具备恢复上涨条件 。</w:t>
      </w:r>
    </w:p>
    <w:p w14:paraId="54C5D168">
      <w:pPr>
        <w:pStyle w:val="3"/>
        <w:keepNext w:val="0"/>
        <w:keepLines w:val="0"/>
        <w:widowControl/>
        <w:suppressLineNumbers w:val="0"/>
      </w:pPr>
      <w:r>
        <w:t>三、 总结与策略建议</w:t>
      </w:r>
    </w:p>
    <w:p w14:paraId="3D18BCA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整体策略</w:t>
      </w:r>
      <w:r>
        <w:t>：当前市场处于临界区，无论上下均需横盘整理过程。现阶段行情将在特定区间内维持震荡，投资者应以风险控制为主 。</w:t>
      </w:r>
    </w:p>
    <w:p w14:paraId="287F5E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</w:t>
      </w:r>
    </w:p>
    <w:p w14:paraId="4AC1CFC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不要将短期反弹一味理解为看涨信号，特别是科创50等具有双顶结构的板块 。</w:t>
      </w:r>
    </w:p>
    <w:p w14:paraId="14F5851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对于下跌明确的板块（如元件、通信），需警惕破位风险 。</w:t>
      </w:r>
    </w:p>
    <w:p w14:paraId="766985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对于有支撑的板块（如保险、煤炭、电力），可关注其阶段性上涨机会，但需注意压力位的阻力 。</w:t>
      </w:r>
    </w:p>
    <w:p w14:paraId="2E4989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军工、游戏传媒及部分消费板块暂无显著看点，建议保持观望 。</w:t>
      </w:r>
    </w:p>
    <w:p w14:paraId="76C2A5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3CA676B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D16A3"/>
    <w:multiLevelType w:val="multilevel"/>
    <w:tmpl w:val="9F5D16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9B02B75"/>
    <w:multiLevelType w:val="multilevel"/>
    <w:tmpl w:val="B9B02B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269E047"/>
    <w:multiLevelType w:val="multilevel"/>
    <w:tmpl w:val="C269E0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3D3D613"/>
    <w:multiLevelType w:val="multilevel"/>
    <w:tmpl w:val="C3D3D6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72B0066"/>
    <w:multiLevelType w:val="multilevel"/>
    <w:tmpl w:val="C72B00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30B4696"/>
    <w:multiLevelType w:val="multilevel"/>
    <w:tmpl w:val="E30B46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41DFA01"/>
    <w:multiLevelType w:val="multilevel"/>
    <w:tmpl w:val="F41DFA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1378D1D"/>
    <w:multiLevelType w:val="multilevel"/>
    <w:tmpl w:val="01378D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BE1CF0A"/>
    <w:multiLevelType w:val="multilevel"/>
    <w:tmpl w:val="0BE1CF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4B6E99C"/>
    <w:multiLevelType w:val="multilevel"/>
    <w:tmpl w:val="44B6E9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1ED2306"/>
    <w:multiLevelType w:val="multilevel"/>
    <w:tmpl w:val="71ED23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2"/>
  </w:num>
  <w:num w:numId="5">
    <w:abstractNumId w:val="9"/>
  </w:num>
  <w:num w:numId="6">
    <w:abstractNumId w:val="0"/>
  </w:num>
  <w:num w:numId="7">
    <w:abstractNumId w:val="6"/>
  </w:num>
  <w:num w:numId="8">
    <w:abstractNumId w:val="3"/>
  </w:num>
  <w:num w:numId="9">
    <w:abstractNumId w:val="1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22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2026-07-28T10:11:16Z</dcterms:created>
  <dc:creator>11</dc:creator>
  <cp:lastModifiedBy>赵振宇</cp:lastModifiedBy>
  <dcterms:modified xsi:type="dcterms:W3CDTF">2026-07-28T10:11:22Z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68BB86E765DB4FC8AD6AEC0F1A924FFA_12</vt:lpwstr>
  </property>
</Properties>
</file>