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93B487">
      <w:pPr>
        <w:pStyle w:val="2"/>
        <w:keepNext w:val="0"/>
        <w:keepLines w:val="0"/>
        <w:widowControl/>
        <w:suppressLineNumbers w:val="0"/>
      </w:pPr>
      <w:r>
        <w:t>市场板块走势分析与投资策略研判</w:t>
      </w:r>
    </w:p>
    <w:p w14:paraId="0AAFCE0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会议主题</w:t>
      </w:r>
      <w:r>
        <w:t>：各大指数及行业板块技术面分析与后市展望</w:t>
      </w:r>
    </w:p>
    <w:p w14:paraId="637F4C3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主讲人</w:t>
      </w:r>
      <w:r>
        <w:t>：说话人1</w:t>
      </w:r>
    </w:p>
    <w:p w14:paraId="65A9702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核心观点</w:t>
      </w:r>
      <w:r>
        <w:t>：大盘关注喇叭口形态，深成指与科创50看跌，金融板块分化，科技与消费以震荡或下跌为主，能源板块需观察支撑有效性</w:t>
      </w:r>
    </w:p>
    <w:p w14:paraId="04AC8444">
      <w:pPr>
        <w:pStyle w:val="5"/>
        <w:keepNext w:val="0"/>
        <w:keepLines w:val="0"/>
        <w:widowControl/>
        <w:suppressLineNumbers w:val="0"/>
      </w:pPr>
      <w:r>
        <w:t xml:space="preserve">&gt; </w:t>
      </w:r>
      <w:r>
        <w:rPr>
          <w:rStyle w:val="8"/>
        </w:rPr>
        <w:t>摘要</w:t>
      </w:r>
      <w:r>
        <w:t>：分析各大指数及行业板块走势。大盘若回升至4000点则确认为喇叭口形态，长期看涨；深成指、科创50呈双顶结构，阶段性看跌；金融中银行、保险看涨，证券需观察支撑；科技、消费多数板块风险较大，仅部分医药股具备中长期潜力；能源板块需验证突破有效性。</w:t>
      </w:r>
    </w:p>
    <w:p w14:paraId="4423EDDF">
      <w:pPr>
        <w:pStyle w:val="3"/>
        <w:keepNext w:val="0"/>
        <w:keepLines w:val="0"/>
        <w:widowControl/>
        <w:suppressLineNumbers w:val="0"/>
      </w:pPr>
      <w:r>
        <w:t>一、 主要指数走势研判</w:t>
      </w:r>
    </w:p>
    <w:p w14:paraId="07E490DA">
      <w:pPr>
        <w:pStyle w:val="4"/>
        <w:keepNext w:val="0"/>
        <w:keepLines w:val="0"/>
        <w:widowControl/>
        <w:suppressLineNumbers w:val="0"/>
      </w:pPr>
      <w:r>
        <w:t>1. 上证指数</w:t>
      </w:r>
    </w:p>
    <w:p w14:paraId="773F65B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形态判断</w:t>
      </w:r>
      <w:r>
        <w:t>：当前基于3700点下方的大箱体进行判断，重点关注是否形成4200~3700点的喇叭口走势 。</w:t>
      </w:r>
    </w:p>
    <w:p w14:paraId="0E28356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关键点位</w:t>
      </w:r>
      <w:r>
        <w:t>：若行情能从3700点区域拉升并回到4000点，基本确认为喇叭口走势 。</w:t>
      </w:r>
    </w:p>
    <w:p w14:paraId="0F3912A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后市展望</w:t>
      </w:r>
      <w:r>
        <w:t>：喇叭口走势意味着力量分散或极端，区间震荡时间较长，待后期收敛后再选择方向 。目前震荡视为同级别调整，后期恢复上涨希望较大 。</w:t>
      </w:r>
    </w:p>
    <w:p w14:paraId="26399E04">
      <w:pPr>
        <w:pStyle w:val="4"/>
        <w:keepNext w:val="0"/>
        <w:keepLines w:val="0"/>
        <w:widowControl/>
        <w:suppressLineNumbers w:val="0"/>
      </w:pPr>
      <w:r>
        <w:t>2. 深证成指</w:t>
      </w:r>
    </w:p>
    <w:p w14:paraId="0FB6636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形态特征</w:t>
      </w:r>
      <w:r>
        <w:t>：上方双顶形态明确，后市阶段性看跌 。</w:t>
      </w:r>
    </w:p>
    <w:p w14:paraId="53AC164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关键点位</w:t>
      </w:r>
      <w:r>
        <w:t>：短期反弹需重视14450点的压力位；重点下方关注12000点左右的支撑 。</w:t>
      </w:r>
    </w:p>
    <w:p w14:paraId="467D930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风险提示</w:t>
      </w:r>
      <w:r>
        <w:t>：若在压力位震荡后无法突破，后期进一步下跌风险较大 。</w:t>
      </w:r>
    </w:p>
    <w:p w14:paraId="4A61B655">
      <w:pPr>
        <w:pStyle w:val="4"/>
        <w:keepNext w:val="0"/>
        <w:keepLines w:val="0"/>
        <w:widowControl/>
        <w:suppressLineNumbers w:val="0"/>
      </w:pPr>
      <w:r>
        <w:t>3. 创业板指</w:t>
      </w:r>
    </w:p>
    <w:p w14:paraId="6925D7E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短期走势</w:t>
      </w:r>
      <w:r>
        <w:t>：目前到达3322点支撑处，短期内将有反弹 。</w:t>
      </w:r>
    </w:p>
    <w:p w14:paraId="615D26A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区间震荡</w:t>
      </w:r>
      <w:r>
        <w:t>：关注3322~3600点之间的震荡情况 。</w:t>
      </w:r>
    </w:p>
    <w:p w14:paraId="6883A55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下行风险</w:t>
      </w:r>
      <w:r>
        <w:t>：若震荡结束后继续向下，下一目标位可能至3000点左右 。</w:t>
      </w:r>
    </w:p>
    <w:p w14:paraId="69EC20C8">
      <w:pPr>
        <w:pStyle w:val="4"/>
        <w:keepNext w:val="0"/>
        <w:keepLines w:val="0"/>
        <w:widowControl/>
        <w:suppressLineNumbers w:val="0"/>
      </w:pPr>
      <w:r>
        <w:t>4. 科创50</w:t>
      </w:r>
    </w:p>
    <w:p w14:paraId="4AEBDB1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形态特征</w:t>
      </w:r>
      <w:r>
        <w:t>：双顶形态明确，恢复上涨可能性不大 。</w:t>
      </w:r>
    </w:p>
    <w:p w14:paraId="7BD86F4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关键点位</w:t>
      </w:r>
      <w:r>
        <w:t>：关注1600~1500点区域的支撑，反弹后大概率继续震荡并进一步下行 。若反弹强势，高点可能触及1900点，但突破颈线位可能性较小 。</w:t>
      </w:r>
    </w:p>
    <w:p w14:paraId="335E2256">
      <w:pPr>
        <w:pStyle w:val="3"/>
        <w:keepNext w:val="0"/>
        <w:keepLines w:val="0"/>
        <w:widowControl/>
        <w:suppressLineNumbers w:val="0"/>
      </w:pPr>
      <w:r>
        <w:t>二、 金融板块分析</w:t>
      </w:r>
    </w:p>
    <w:p w14:paraId="6260C8D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银行</w:t>
      </w:r>
      <w:r>
        <w:t>：持续拉升，1900点为停顿点，下一站看2000点关口压力，预计行情将回落 。随后在2000~1950点之间震荡维持一两周，再考虑进一步上行 。</w:t>
      </w:r>
    </w:p>
    <w:p w14:paraId="3675A93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证券</w:t>
      </w:r>
      <w:r>
        <w:t>：今日反弹留上影线，需观察下周能否守住1720点 。若守住，可归纳为1720~1850点区间，按双底加横盘结构看涨，但需要时间酝酿 。</w:t>
      </w:r>
    </w:p>
    <w:p w14:paraId="0500279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保险</w:t>
      </w:r>
      <w:r>
        <w:t>：反弹幅度较大，已突破2800点，下一目标位看3000点，该位置压力明显 。</w:t>
      </w:r>
    </w:p>
    <w:p w14:paraId="0252C946">
      <w:pPr>
        <w:pStyle w:val="3"/>
        <w:keepNext w:val="0"/>
        <w:keepLines w:val="0"/>
        <w:widowControl/>
        <w:suppressLineNumbers w:val="0"/>
      </w:pPr>
      <w:r>
        <w:t>三、 科技板块分析</w:t>
      </w:r>
    </w:p>
    <w:p w14:paraId="1098B56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总体策略</w:t>
      </w:r>
      <w:r>
        <w:t>：计算机设备中潜力对象较多；IT和软件涨幅有限；电子通信以风险为主；游戏和影视院线不看好潜力 。</w:t>
      </w:r>
    </w:p>
    <w:p w14:paraId="16E30BF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半导体</w:t>
      </w:r>
      <w:r>
        <w:t>：现位于8000点，预计在今日阴线范围内震荡，最高看至9300点希望不大 。震荡一周后，进一步下跌至7000点的可能性更大 。</w:t>
      </w:r>
    </w:p>
    <w:p w14:paraId="33D0370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元件</w:t>
      </w:r>
      <w:r>
        <w:t>：处于加速下跌状态，后期看至1万点左右 。</w:t>
      </w:r>
    </w:p>
    <w:p w14:paraId="3F673E7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光学光电子</w:t>
      </w:r>
      <w:r>
        <w:t>：跌破1400点，进入下方密集支撑区，下跌将减速，理想阶段性顶部在1200点区域，届时将有明显止跌反弹 。</w:t>
      </w:r>
    </w:p>
    <w:p w14:paraId="3448653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消费电子</w:t>
      </w:r>
      <w:r>
        <w:t>：头部明确，关注4500点支撑后的反弹，预计在今日阴线范围震荡，最高看5000点，之后进一步下跌至4000点左右 。</w:t>
      </w:r>
    </w:p>
    <w:p w14:paraId="271E235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电子化学品</w:t>
      </w:r>
      <w:r>
        <w:t>：断崖式下跌，阶段性底部在1500点左右，届时将有反弹 。</w:t>
      </w:r>
    </w:p>
    <w:p w14:paraId="3E7A14E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计算机设备</w:t>
      </w:r>
      <w:r>
        <w:t>：冲高回落，1800点演变为压力位，若继续在1800点下波动需警惕向下破位（已跌破旗形） 。</w:t>
      </w:r>
    </w:p>
    <w:p w14:paraId="7846483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IT服务</w:t>
      </w:r>
      <w:r>
        <w:t>：到达1000点支撑，若本周在此停顿，需做好短期向下破位准备 。</w:t>
      </w:r>
    </w:p>
    <w:p w14:paraId="11B221B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软件开发</w:t>
      </w:r>
      <w:r>
        <w:t>：无好转迹象，强调风险 。</w:t>
      </w:r>
    </w:p>
    <w:p w14:paraId="588A923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军工/航天装备</w:t>
      </w:r>
      <w:r>
        <w:t>：持续下跌，关注4000点支撑 。</w:t>
      </w:r>
    </w:p>
    <w:p w14:paraId="57A511B4">
      <w:pPr>
        <w:pStyle w:val="3"/>
        <w:keepNext w:val="0"/>
        <w:keepLines w:val="0"/>
        <w:widowControl/>
        <w:suppressLineNumbers w:val="0"/>
      </w:pPr>
      <w:r>
        <w:t>四、 消费与医药板块分析</w:t>
      </w:r>
    </w:p>
    <w:p w14:paraId="2A93AA9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总体观点</w:t>
      </w:r>
      <w:r>
        <w:t>：除医药医疗外，其他消费板块仅视为反弹，不看好上涨持续性 。</w:t>
      </w:r>
    </w:p>
    <w:p w14:paraId="547324C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白酒</w:t>
      </w:r>
      <w:r>
        <w:t>：总体下跌趋势明确 。目前在420位置形成小双底，反弹空间有限，预计最高看至500点，除非后期在500点长期震荡否则难言突破 。</w:t>
      </w:r>
    </w:p>
    <w:p w14:paraId="2F25E40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创新药</w:t>
      </w:r>
      <w:r>
        <w:t>：在1000~1100点之间震荡，近期成交量过大，需长时间震荡洗筹，待成交量明显缩小后再考虑向上突破 。</w:t>
      </w:r>
    </w:p>
    <w:p w14:paraId="03DC66D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化学制药</w:t>
      </w:r>
      <w:r>
        <w:t>：在2500~2700点之间震荡，视为上涨中继，因波动大且成交量偏大，需多震荡一段时间方可进一步上行 。</w:t>
      </w:r>
    </w:p>
    <w:p w14:paraId="76F9637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医疗服务</w:t>
      </w:r>
      <w:r>
        <w:t>：低开高走回到5000点之上，预计在5000~5300点震荡两周左右，之后考虑进一步上涨至6000点附近 。</w:t>
      </w:r>
    </w:p>
    <w:p w14:paraId="6C974797">
      <w:pPr>
        <w:pStyle w:val="3"/>
        <w:keepNext w:val="0"/>
        <w:keepLines w:val="0"/>
        <w:widowControl/>
        <w:suppressLineNumbers w:val="0"/>
      </w:pPr>
      <w:r>
        <w:t>五、 能源、制造及其他板块分析</w:t>
      </w:r>
    </w:p>
    <w:p w14:paraId="4A066835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煤炭</w:t>
      </w:r>
      <w:r>
        <w:t>：突破回踩1736后再次大阳线突破1800，走势偏强但缺乏底部基础，持续性存疑 。若未来三天能回踩守住1800点，可看高一线，目标看至1927点左右 。</w:t>
      </w:r>
    </w:p>
    <w:p w14:paraId="61F33A4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石油</w:t>
      </w:r>
      <w:r>
        <w:t>：维持在1000~1100点长期震荡，呈现吸筹减速过程 。若本周能顶着1100点停顿，可博弈突破至1200点 。</w:t>
      </w:r>
    </w:p>
    <w:p w14:paraId="540A067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电力</w:t>
      </w:r>
      <w:r>
        <w:t>：大幅反弹至2000点整数关口，视为正常反弹 。2100点有压力，若本周回踩守住2100点，顶多看至2200点，暂时恢复大涨希望不大 。</w:t>
      </w:r>
    </w:p>
    <w:p w14:paraId="5C8C0126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电池</w:t>
      </w:r>
      <w:r>
        <w:t>：略微反弹，800点为重要关口，将在该区域反复震荡，暂无明显止跌迹象，非看涨时机 。</w:t>
      </w:r>
    </w:p>
    <w:p w14:paraId="42916B1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光伏</w:t>
      </w:r>
      <w:r>
        <w:t>：即将到达400点整数关口，届时将有反弹，随后看400~450点区间震荡 。</w:t>
      </w:r>
    </w:p>
    <w:p w14:paraId="0289E57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有色</w:t>
      </w:r>
      <w:r>
        <w:t>：黄金小幅反弹但跌破4667点，暂无指望；小金属持续看跌；工业金属以3462为分水岭，站上则头肩底成立，否则维持看跌；能源金属超预期下跌跌破500点，预计将在500点附近反复震荡 。</w:t>
      </w:r>
    </w:p>
    <w:p w14:paraId="554B568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机器人</w:t>
      </w:r>
      <w:r>
        <w:t>：下方4000点左右可能有小幅反弹，但反转希望不大 。</w:t>
      </w:r>
    </w:p>
    <w:p w14:paraId="3AD50F8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*内容由AI生成，仅供参考</w:t>
      </w:r>
    </w:p>
    <w:p w14:paraId="5E61284E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D72E8D"/>
    <w:multiLevelType w:val="multilevel"/>
    <w:tmpl w:val="FFD72E8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06F13176"/>
    <w:multiLevelType w:val="multilevel"/>
    <w:tmpl w:val="06F1317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312EFA5F"/>
    <w:multiLevelType w:val="multilevel"/>
    <w:tmpl w:val="312EFA5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345E139F"/>
    <w:multiLevelType w:val="multilevel"/>
    <w:tmpl w:val="345E139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44590094"/>
    <w:multiLevelType w:val="multilevel"/>
    <w:tmpl w:val="4459009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4EF93C7E"/>
    <w:multiLevelType w:val="multilevel"/>
    <w:tmpl w:val="4EF93C7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5863976E"/>
    <w:multiLevelType w:val="multilevel"/>
    <w:tmpl w:val="5863976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6526EEEF"/>
    <w:multiLevelType w:val="multilevel"/>
    <w:tmpl w:val="6526EEE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6EEDE02D"/>
    <w:multiLevelType w:val="multilevel"/>
    <w:tmpl w:val="6EEDE02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5"/>
  </w:num>
  <w:num w:numId="2">
    <w:abstractNumId w:val="3"/>
  </w:num>
  <w:num w:numId="3">
    <w:abstractNumId w:val="8"/>
  </w:num>
  <w:num w:numId="4">
    <w:abstractNumId w:val="2"/>
  </w:num>
  <w:num w:numId="5">
    <w:abstractNumId w:val="6"/>
  </w:num>
  <w:num w:numId="6">
    <w:abstractNumId w:val="7"/>
  </w:num>
  <w:num w:numId="7">
    <w:abstractNumId w:val="4"/>
  </w:num>
  <w:num w:numId="8">
    <w:abstractNumId w:val="0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F466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2026-07-20T14:52:34Z</dcterms:created>
  <dc:creator>11</dc:creator>
  <cp:lastModifiedBy>赵振宇</cp:lastModifiedBy>
  <dcterms:modified xsi:type="dcterms:W3CDTF">2026-07-20T14:52:41Z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eyJoZGlkIjoiOTc3M2Y5NzIzMDFlZjAyY2Q4Njk5ODkyYjFjNzBiNTQiLCJ1c2VySWQiOiIzMTgyOTE0NTUifQ==</vt:lpwstr>
  </property>
  <property fmtid="{D5CDD505-2E9C-101B-9397-08002B2CF9AE}" pid="4" name="ICV">
    <vt:lpwstr>7DC41521233E48DFB712209388F37652_12</vt:lpwstr>
  </property>
</Properties>
</file>