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60EF1">
      <w:pPr>
        <w:pStyle w:val="2"/>
        <w:keepNext w:val="0"/>
        <w:keepLines w:val="0"/>
        <w:widowControl/>
        <w:suppressLineNumbers w:val="0"/>
      </w:pPr>
      <w:r>
        <w:t>股市行情走势分析与板块策略研判</w:t>
      </w:r>
    </w:p>
    <w:p w14:paraId="262CE7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：股市大盘及各大板块技术面分析与后市展望</w:t>
      </w:r>
    </w:p>
    <w:p w14:paraId="3414FA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：云起来看</w:t>
      </w:r>
    </w:p>
    <w:p w14:paraId="22C1D6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：大盘处于震荡观察期，科技与军工板块风险较大，金融与能源板块需关注关键支撑位</w:t>
      </w:r>
    </w:p>
    <w:p w14:paraId="33F9B910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7月17日阴线后的大盘震荡性质，指出3700点为牛熊分界线，短期静观其变。详细剖析深证、创业板及科创50的弱势结构。重点提示半导体、军工、计算机等科技板块的下跌风险，同时评估金融、能源、消费及有色板块的关键支撑与压力位，建议投资者谨慎操作，关注底部构筑过程。</w:t>
      </w:r>
    </w:p>
    <w:p w14:paraId="75DD4E39">
      <w:pPr>
        <w:pStyle w:val="3"/>
        <w:keepNext w:val="0"/>
        <w:keepLines w:val="0"/>
        <w:widowControl/>
        <w:suppressLineNumbers w:val="0"/>
      </w:pPr>
      <w:r>
        <w:t>大盘指数走势分析</w:t>
      </w:r>
    </w:p>
    <w:p w14:paraId="04F89F46">
      <w:pPr>
        <w:pStyle w:val="4"/>
        <w:keepNext w:val="0"/>
        <w:keepLines w:val="0"/>
        <w:widowControl/>
        <w:suppressLineNumbers w:val="0"/>
      </w:pPr>
      <w:r>
        <w:t>上证指数</w:t>
      </w:r>
    </w:p>
    <w:p w14:paraId="6D5852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当前形态</w:t>
      </w:r>
      <w:r>
        <w:t>：行情归纳为7月17日阴线范围内的震荡，性质未定，可上可下 。</w:t>
      </w:r>
    </w:p>
    <w:p w14:paraId="68C798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两种情景推演</w:t>
      </w:r>
      <w:r>
        <w:t>：</w:t>
      </w:r>
    </w:p>
    <w:p w14:paraId="27BE35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下跌中继</w:t>
      </w:r>
      <w:r>
        <w:t>：若行情在震荡后向下跌破，则确认为下跌中继，风险较大 。</w:t>
      </w:r>
    </w:p>
    <w:p w14:paraId="5D44B3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阶段性底部</w:t>
      </w:r>
      <w:r>
        <w:t>：若未来1-2周能在3800点之上维持横盘震荡，可借鉴前期类似形态，视为阶段性底部，有望进一步上涨 。</w:t>
      </w:r>
    </w:p>
    <w:p w14:paraId="6207CB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：3700点是过去十年大盘箱体的上边界，也是明显的牛熊分界线。只要不有效跌破3700点，总体保持乐观 。</w:t>
      </w:r>
    </w:p>
    <w:p w14:paraId="32E56A14">
      <w:pPr>
        <w:pStyle w:val="4"/>
        <w:keepNext w:val="0"/>
        <w:keepLines w:val="0"/>
        <w:widowControl/>
        <w:suppressLineNumbers w:val="0"/>
      </w:pPr>
      <w:r>
        <w:t>其他主要指数</w:t>
      </w:r>
    </w:p>
    <w:p w14:paraId="27425F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：受压于14450点之下，上方存在双顶压制，恢复上涨难度较大 。</w:t>
      </w:r>
    </w:p>
    <w:p w14:paraId="7095F8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：同样在7月17日阴线范围内震荡，头部明确，需长时间震荡筑底后方可看涨 。</w:t>
      </w:r>
    </w:p>
    <w:p w14:paraId="744B3B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</w:t>
      </w:r>
    </w:p>
    <w:p w14:paraId="39CD97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呈现双顶下跌结构，后市向下风险更大 。</w:t>
      </w:r>
    </w:p>
    <w:p w14:paraId="5226FF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周五虽低开高走，但反弹未能突破周四阴线实体中点，显示多头力量衰竭，反弹弱势 。</w:t>
      </w:r>
    </w:p>
    <w:p w14:paraId="441115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目前处于1670-1900点区间震荡，后市持续向下至1500点的风险较高，倾向看弱 。</w:t>
      </w:r>
    </w:p>
    <w:p w14:paraId="0EF77F12">
      <w:pPr>
        <w:pStyle w:val="3"/>
        <w:keepNext w:val="0"/>
        <w:keepLines w:val="0"/>
        <w:widowControl/>
        <w:suppressLineNumbers w:val="0"/>
      </w:pPr>
      <w:r>
        <w:t>行业板块详细研判</w:t>
      </w:r>
    </w:p>
    <w:p w14:paraId="2AF4C133">
      <w:pPr>
        <w:pStyle w:val="4"/>
        <w:keepNext w:val="0"/>
        <w:keepLines w:val="0"/>
        <w:widowControl/>
        <w:suppressLineNumbers w:val="0"/>
      </w:pPr>
      <w:r>
        <w:t>金融板块</w:t>
      </w:r>
    </w:p>
    <w:p w14:paraId="1F85A0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：双底形态不完美（时间短、波动不紧凑），潜力有限。近期跌破三角形整理形态，若未来几天不能反包周五阴线，则走势麻烦；需在1720-1850点长期震荡蓄势后才具备看涨条件 。</w:t>
      </w:r>
    </w:p>
    <w:p w14:paraId="4CE0AF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：周五收小阴线，只要不跌破周三低点2762点，可保持乐观，震荡后有望上行 。</w:t>
      </w:r>
    </w:p>
    <w:p w14:paraId="1960D757">
      <w:pPr>
        <w:pStyle w:val="4"/>
        <w:keepNext w:val="0"/>
        <w:keepLines w:val="0"/>
        <w:widowControl/>
        <w:suppressLineNumbers w:val="0"/>
      </w:pPr>
      <w:r>
        <w:t>科技板块（整体看空/弱势）</w:t>
      </w:r>
    </w:p>
    <w:p w14:paraId="3F44AF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：冲高回落显示弱势，上方双顶压制。当前8000-9300点震荡多为下跌中继，后期可能下跌至7000甚至6500点 。</w:t>
      </w:r>
    </w:p>
    <w:p w14:paraId="6A9B49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元器件</w:t>
      </w:r>
      <w:r>
        <w:t>：上方形成三重顶，持续看跌，建议在1万点附近等待 。</w:t>
      </w:r>
    </w:p>
    <w:p w14:paraId="35E8B3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：1300-1400点区间震荡，无明显好转迹象 。</w:t>
      </w:r>
    </w:p>
    <w:p w14:paraId="6C58FB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：4500-5000点震荡，无明显底部，需重视上方双顶压力 。</w:t>
      </w:r>
    </w:p>
    <w:p w14:paraId="6E6191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：1500点区域震荡，处于7月17日阴线范围内，暂无恢复上涨希望 。</w:t>
      </w:r>
    </w:p>
    <w:p w14:paraId="3200B4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：跌破周三低点，确认为主跌浪中的骑行反弹及破位回踩，目标位看至1585点 。</w:t>
      </w:r>
    </w:p>
    <w:p w14:paraId="2897ED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：呈阶梯式下跌，每次反弹至前低即继续下行，下跌空间大，目标位看至4000点左右 。</w:t>
      </w:r>
    </w:p>
    <w:p w14:paraId="24779869">
      <w:pPr>
        <w:pStyle w:val="4"/>
        <w:keepNext w:val="0"/>
        <w:keepLines w:val="0"/>
        <w:widowControl/>
        <w:suppressLineNumbers w:val="0"/>
      </w:pPr>
      <w:r>
        <w:t>军工板块</w:t>
      </w:r>
    </w:p>
    <w:p w14:paraId="673E40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：明确下跌趋势，前期爆量表明机构出货彻底，不应幻想第二波行情 。</w:t>
      </w:r>
    </w:p>
    <w:p w14:paraId="608FAB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走势预测</w:t>
      </w:r>
      <w:r>
        <w:t>：可能在4000点区域震荡后继续向下破位，强势反弹高点仅看至5000点左右 。</w:t>
      </w:r>
    </w:p>
    <w:p w14:paraId="786A6405">
      <w:pPr>
        <w:pStyle w:val="4"/>
        <w:keepNext w:val="0"/>
        <w:keepLines w:val="0"/>
        <w:widowControl/>
        <w:suppressLineNumbers w:val="0"/>
      </w:pPr>
      <w:r>
        <w:t>消费与医药</w:t>
      </w:r>
    </w:p>
    <w:p w14:paraId="306519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：反弹弱势，卡在1000点支撑位。1100点区域成交量大，套牢盘重，需通过大幅打压或长期横盘洗筹。若未来2-4周能在1000-1100点区间震荡，再考虑上行可能 。</w:t>
      </w:r>
    </w:p>
    <w:p w14:paraId="730A08AC">
      <w:pPr>
        <w:pStyle w:val="4"/>
        <w:keepNext w:val="0"/>
        <w:keepLines w:val="0"/>
        <w:widowControl/>
        <w:suppressLineNumbers w:val="0"/>
      </w:pPr>
      <w:r>
        <w:t>能源与资源</w:t>
      </w:r>
    </w:p>
    <w:p w14:paraId="440398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：无扎实底部，上涨潜力不大。若下周回复至1800点以上，需警惕为骑行反弹，后市下跌风险加大 。</w:t>
      </w:r>
    </w:p>
    <w:p w14:paraId="493CDD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：1000-1100点区间，上边界压力明显，暂不具备持续上涨条件，需观察1100点附近的震荡情况 。</w:t>
      </w:r>
    </w:p>
    <w:p w14:paraId="7142B9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：2000点及上升趋势线构成共同支撑，可能构成底部，但缺乏横盘筑底时间，需观察。重点关注2065点支撑 。</w:t>
      </w:r>
    </w:p>
    <w:p w14:paraId="42987A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：828-830点为强支撑，但整体为下跌结构，横盘首先考虑为下跌中继。反弹至453点（前波段目标位）后回落，后续可能在407-453点震荡，向下破位风险更大 。</w:t>
      </w:r>
    </w:p>
    <w:p w14:paraId="1AA2D13B">
      <w:pPr>
        <w:pStyle w:val="4"/>
        <w:keepNext w:val="0"/>
        <w:keepLines w:val="0"/>
        <w:widowControl/>
        <w:suppressLineNumbers w:val="0"/>
      </w:pPr>
      <w:r>
        <w:t>有色金属</w:t>
      </w:r>
    </w:p>
    <w:p w14:paraId="4AD390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：在5270点压力处回落，按区间跟踪，暂无上行信号 。</w:t>
      </w:r>
    </w:p>
    <w:p w14:paraId="25E58D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：明显下跌，6000点为分水岭，暂无恢复上涨条件 。</w:t>
      </w:r>
    </w:p>
    <w:p w14:paraId="59C5F6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：关注3450点支撑，守住可看涨，守不住继续看跌 。</w:t>
      </w:r>
    </w:p>
    <w:p w14:paraId="661A7D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：500点区域震荡，无吸筹动作，短期难以上涨，震荡后可能下跌至420点左右 。</w:t>
      </w:r>
    </w:p>
    <w:p w14:paraId="34788805">
      <w:pPr>
        <w:pStyle w:val="4"/>
        <w:keepNext w:val="0"/>
        <w:keepLines w:val="0"/>
        <w:widowControl/>
        <w:suppressLineNumbers w:val="0"/>
      </w:pPr>
      <w:r>
        <w:t>高端制造</w:t>
      </w:r>
    </w:p>
    <w:p w14:paraId="2B4C981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：触及4000点支撑后反弹，但仍处于7月17日阴线范围内震荡，无底部特征，短期难以上涨，不宜抱过高期望 。</w:t>
      </w:r>
    </w:p>
    <w:p w14:paraId="30A8B5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435BA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24859"/>
    <w:multiLevelType w:val="multilevel"/>
    <w:tmpl w:val="82624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9183C5"/>
    <w:multiLevelType w:val="multilevel"/>
    <w:tmpl w:val="95918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4A6592"/>
    <w:multiLevelType w:val="multilevel"/>
    <w:tmpl w:val="C64A6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2F5A310"/>
    <w:multiLevelType w:val="multilevel"/>
    <w:tmpl w:val="D2F5A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D8E68A"/>
    <w:multiLevelType w:val="multilevel"/>
    <w:tmpl w:val="D7D8E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ABE1BDD"/>
    <w:multiLevelType w:val="multilevel"/>
    <w:tmpl w:val="EABE1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6E7270B"/>
    <w:multiLevelType w:val="multilevel"/>
    <w:tmpl w:val="16E72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A2983C3"/>
    <w:multiLevelType w:val="multilevel"/>
    <w:tmpl w:val="3A298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286F392"/>
    <w:multiLevelType w:val="multilevel"/>
    <w:tmpl w:val="6286F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6B1E4AD"/>
    <w:multiLevelType w:val="multilevel"/>
    <w:tmpl w:val="66B1E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8"/>
  </w:num>
  <w:num w:numId="7">
    <w:abstractNumId w:val="3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7B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2026-07-28T10:22:22Z</dcterms:created>
  <dc:creator>11</dc:creator>
  <cp:lastModifiedBy>赵振宇</cp:lastModifiedBy>
  <dcterms:modified xsi:type="dcterms:W3CDTF">2026-07-28T10:22:31Z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F49CEF326E5B4A719DB7EA30F8C21A43_12</vt:lpwstr>
  </property>
</Properties>
</file>