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21586">
      <w:pPr>
        <w:pStyle w:val="2"/>
        <w:keepNext w:val="0"/>
        <w:keepLines w:val="0"/>
        <w:widowControl/>
        <w:suppressLineNumbers w:val="0"/>
      </w:pPr>
      <w:r>
        <w:t>周五股市复盘与板块走势分析</w:t>
      </w:r>
    </w:p>
    <w:p w14:paraId="19FB1A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：股市大盘及细分板块技术面分析与后市展望</w:t>
      </w:r>
    </w:p>
    <w:p w14:paraId="7ADFC5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55ECA2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：大盘处于悬而未决的震荡期，多数科技与消费板块呈下跌或反弹结构，需警惕破位风险；部分能源、贵金属及汽车板块存在局部机会。</w:t>
      </w:r>
    </w:p>
    <w:p w14:paraId="11E6B485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周五股市大盘及各主要板块走势。指出大盘围绕3800点震荡，深成指、创业板及科创50均面临下行风险。科技、消费等多数板块仅为反弹而非反转，需警惕进一步下跌。能源、贵金属及部分汽车细分领域呈现短期向好或筑底迹象，建议关注关键点位突破情况。</w:t>
      </w:r>
    </w:p>
    <w:p w14:paraId="24192A72">
      <w:pPr>
        <w:pStyle w:val="3"/>
        <w:keepNext w:val="0"/>
        <w:keepLines w:val="0"/>
        <w:widowControl/>
        <w:suppressLineNumbers w:val="0"/>
      </w:pPr>
      <w:r>
        <w:t>一、 大盘指数走势分析</w:t>
      </w:r>
    </w:p>
    <w:p w14:paraId="7948C1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</w:t>
      </w:r>
      <w:r>
        <w:t>：周五高开收十字星，围绕3800点震荡，状态悬而未决，不宜过早判断行情 。若未来两周在3800-3900点震荡，可视为小规模底部；若守不住3800点，可能在3700-3900点间震荡寻求转机；若持续在3700-3800点窄幅震荡，需做好向下破位准备 。</w:t>
      </w:r>
    </w:p>
    <w:p w14:paraId="71F2D4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：冲高回落，未突破13721压力位，倾向于双顶结构，震荡后持续向下风险较大，跌回12000点可能性较高 。</w:t>
      </w:r>
    </w:p>
    <w:p w14:paraId="425CB1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：高开低走，虽守住3322点，但呈明确下跌结构。预计围绕3322点拉锯震荡后，进一步下跌至3000点的可能性较大 。</w:t>
      </w:r>
    </w:p>
    <w:p w14:paraId="37C9B7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：以双顶为分析起点，已回调至颈线位并确立下跌走势。1670点为短期分水岭，未站稳前维持看跌观点。下一支撑位看1500点，最终下跌目标约1350点 。科技股波动大，单日大涨不具备持续上行条件 。</w:t>
      </w:r>
    </w:p>
    <w:p w14:paraId="6D739FD5">
      <w:pPr>
        <w:pStyle w:val="3"/>
        <w:keepNext w:val="0"/>
        <w:keepLines w:val="0"/>
        <w:widowControl/>
        <w:suppressLineNumbers w:val="0"/>
      </w:pPr>
      <w:r>
        <w:t>二、 重点行业板块分析</w:t>
      </w:r>
    </w:p>
    <w:p w14:paraId="770097CF">
      <w:pPr>
        <w:pStyle w:val="4"/>
        <w:keepNext w:val="0"/>
        <w:keepLines w:val="0"/>
        <w:widowControl/>
        <w:suppressLineNumbers w:val="0"/>
      </w:pPr>
      <w:r>
        <w:t>1. 金融板块</w:t>
      </w:r>
    </w:p>
    <w:p w14:paraId="4CFCDB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：在1720点附近徘徊，无明显恢复上涨信号，建议观望 。</w:t>
      </w:r>
    </w:p>
    <w:p w14:paraId="62A5B3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：在2900点附近震荡，只要不跌破周四低点，短期向好，有望震荡后触及3000点压力位，但目前不具备突破条件 。</w:t>
      </w:r>
    </w:p>
    <w:p w14:paraId="2B268A47">
      <w:pPr>
        <w:pStyle w:val="4"/>
        <w:keepNext w:val="0"/>
        <w:keepLines w:val="0"/>
        <w:widowControl/>
        <w:suppressLineNumbers w:val="0"/>
      </w:pPr>
      <w:r>
        <w:t>2. 科技板块</w:t>
      </w:r>
    </w:p>
    <w:p w14:paraId="4B1A4F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：回踩8000点确认，后续下跌风险较大，主跌浪目标看至5220点左右 。</w:t>
      </w:r>
    </w:p>
    <w:p w14:paraId="3136D2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：在10000点支撑处反弹，高点看至11470点，将维持震荡，反转可能性渺茫 。</w:t>
      </w:r>
    </w:p>
    <w:p w14:paraId="670A35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：确认1300点压力后回踩，将进一步下行，无止跌企稳迹象 。</w:t>
      </w:r>
    </w:p>
    <w:p w14:paraId="687F63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：在4500点区域横盘，后续将下探至4000点附近，无反转希望 。</w:t>
      </w:r>
    </w:p>
    <w:p w14:paraId="1607A6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：下跌途中横盘，后市将进一步下跌至1500点左右 。</w:t>
      </w:r>
    </w:p>
    <w:p w14:paraId="363905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：在下轨附近获支撑未破位，但属主跌浪中的骑行反弹，若下周在1725-1800点间震荡，随后将向下破位 。</w:t>
      </w:r>
    </w:p>
    <w:p w14:paraId="36C0A2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>：呈震荡下行减速迹象，周五大涨视为反弹，高点看至800点附近，后期需横盘筑底才可能反转 。</w:t>
      </w:r>
    </w:p>
    <w:p w14:paraId="16A114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：持续下跌，无底部形态，不具备反转条件，反弹高点看至6000点，后续可能跌至4000点 。</w:t>
      </w:r>
    </w:p>
    <w:p w14:paraId="5E720F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游戏</w:t>
      </w:r>
      <w:r>
        <w:t>：在1200点支撑处有诱空动作，后续回到1400点希望较大 。</w:t>
      </w:r>
    </w:p>
    <w:p w14:paraId="3D65BF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影视院线</w:t>
      </w:r>
      <w:r>
        <w:t>：在844点横盘有诱空迹象，先看至950点，因无扎实筑底，行情难以持久 。</w:t>
      </w:r>
    </w:p>
    <w:p w14:paraId="2ED39F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广告营销</w:t>
      </w:r>
      <w:r>
        <w:t>：在800点支撑处反弹，高点看至1000点，因下方无扎实筑底，行情走不远 。</w:t>
      </w:r>
    </w:p>
    <w:p w14:paraId="61D566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数字媒体</w:t>
      </w:r>
      <w:r>
        <w:t>：反弹至800点压力位后将回落，需观察未来两周能否维持在周五阳线范围内震荡以寻求突破 。</w:t>
      </w:r>
    </w:p>
    <w:p w14:paraId="406D02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出版</w:t>
      </w:r>
      <w:r>
        <w:t>：周五大幅上涨，结构上呈诱空后的小级别底部反转，预计有大级别反弹但非主升浪，高点看至1300点左右 。</w:t>
      </w:r>
    </w:p>
    <w:p w14:paraId="7E2283E4">
      <w:pPr>
        <w:pStyle w:val="4"/>
        <w:keepNext w:val="0"/>
        <w:keepLines w:val="0"/>
        <w:widowControl/>
        <w:suppressLineNumbers w:val="0"/>
      </w:pPr>
      <w:r>
        <w:t>3. 军工板块</w:t>
      </w:r>
    </w:p>
    <w:p w14:paraId="0C5BA6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</w:t>
      </w:r>
      <w:r>
        <w:t>：动静不大 。</w:t>
      </w:r>
    </w:p>
    <w:p w14:paraId="0D3C21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：受4000点支撑反弹，大概率为下跌中继，后市仍有下跌空间 。</w:t>
      </w:r>
    </w:p>
    <w:p w14:paraId="700F1C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>：呈喇叭口走势，不具备反转条件，将维持长期震荡 。</w:t>
      </w:r>
    </w:p>
    <w:p w14:paraId="4189202C">
      <w:pPr>
        <w:pStyle w:val="4"/>
        <w:keepNext w:val="0"/>
        <w:keepLines w:val="0"/>
        <w:widowControl/>
        <w:suppressLineNumbers w:val="0"/>
      </w:pPr>
      <w:r>
        <w:t>4. 消费板块</w:t>
      </w:r>
    </w:p>
    <w:p w14:paraId="491470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>：仅为反弹，高点看至500点左右。周四爆量显示资金出逃，导致周五低开，形势不容乐观 。</w:t>
      </w:r>
    </w:p>
    <w:p w14:paraId="7A3477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：守住1000点，但持续小阴线震荡，无明显看涨信号。若在1000点附近持续震荡，需警惕大跌风险；只有跨过上周二高点1025点方可言好转 。</w:t>
      </w:r>
    </w:p>
    <w:p w14:paraId="616188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：在5000-5300点间震荡，走势喜忧参半，需再观察一周 。</w:t>
      </w:r>
    </w:p>
    <w:p w14:paraId="2B5BCF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白家电</w:t>
      </w:r>
      <w:r>
        <w:t>：触及3500点压力位后将回落，区间看3300-3500点（宽）或3400-3500点（窄）。若能维持一两周，可博弈箱体突破，届时空间可观 。</w:t>
      </w:r>
    </w:p>
    <w:p w14:paraId="52E82118">
      <w:pPr>
        <w:pStyle w:val="4"/>
        <w:keepNext w:val="0"/>
        <w:keepLines w:val="0"/>
        <w:widowControl/>
        <w:suppressLineNumbers w:val="0"/>
      </w:pPr>
      <w:r>
        <w:t>5. 汽车板块</w:t>
      </w:r>
    </w:p>
    <w:p w14:paraId="321598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乘用车</w:t>
      </w:r>
      <w:r>
        <w:t>：周五低开高走收并列阳线，维持看涨。但需注意左侧873-910点压力区，触及该区域反弹可能告一段落 。</w:t>
      </w:r>
    </w:p>
    <w:p w14:paraId="35B08C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商用车</w:t>
      </w:r>
      <w:r>
        <w:t>：下方形成小双底，偏好，回踩确认1400点后，有望上看至1600点 。</w:t>
      </w:r>
    </w:p>
    <w:p w14:paraId="66FBDD60">
      <w:pPr>
        <w:pStyle w:val="4"/>
        <w:keepNext w:val="0"/>
        <w:keepLines w:val="0"/>
        <w:widowControl/>
        <w:suppressLineNumbers w:val="0"/>
      </w:pPr>
      <w:r>
        <w:t>6. 能源与资源板块</w:t>
      </w:r>
    </w:p>
    <w:p w14:paraId="34A5AB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：低开高走，在1736-1870点区间震荡，时间尚短，需再震荡两周考虑博弈突破 。</w:t>
      </w:r>
    </w:p>
    <w:p w14:paraId="6359B8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：形势向好，呈减速、双底及颈线位横盘结构，看涨。若未来两三天回踩守住1000点，可上看至1200点 。</w:t>
      </w:r>
    </w:p>
    <w:p w14:paraId="4CB8B9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：在2000点支撑处形成小底部并横盘，考虑上行，但因底部规模小，短期空间有限，以震荡为主 。</w:t>
      </w:r>
    </w:p>
    <w:p w14:paraId="3A1AF3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：在828-985点区间波动，呈小头肩底形态。若未来三天守住828点，可博弈突破上看至900点 。</w:t>
      </w:r>
    </w:p>
    <w:p w14:paraId="1989F7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：在453点以下震荡，底部特征不明显，看涨把握不大 。</w:t>
      </w:r>
    </w:p>
    <w:p w14:paraId="66ED18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贵金属（黄金）</w:t>
      </w:r>
      <w:r>
        <w:t>：继续拉升，在5270点颈线位震荡。若调整至5200点附近且两天内不破，可按头肩底模式操作，上看至6000点 。</w:t>
      </w:r>
    </w:p>
    <w:p w14:paraId="3C71C5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：6000点为分水岭，暂无明显看涨信号 。</w:t>
      </w:r>
    </w:p>
    <w:p w14:paraId="073C65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：下方有小头肩底，回踩确认后可上看至3820点 。</w:t>
      </w:r>
    </w:p>
    <w:p w14:paraId="4E37F9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：在500-540点区间，若维持一周可博弈突破上看至600点，但仅为反弹，反转希望不大 。</w:t>
      </w:r>
    </w:p>
    <w:p w14:paraId="0C1D9AE4">
      <w:pPr>
        <w:pStyle w:val="4"/>
        <w:keepNext w:val="0"/>
        <w:keepLines w:val="0"/>
        <w:widowControl/>
        <w:suppressLineNumbers w:val="0"/>
      </w:pPr>
      <w:r>
        <w:t>7. 工业制造板块</w:t>
      </w:r>
    </w:p>
    <w:p w14:paraId="7FB3EF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>：高开低走，属下跌途中震荡，不具备反转条件 。</w:t>
      </w:r>
    </w:p>
    <w:p w14:paraId="14A230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：在2500点支撑处反弹，仅为反弹非反转，后期大概率跌回2000点 。</w:t>
      </w:r>
    </w:p>
    <w:p w14:paraId="0EF4E9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：结构好转，若未来一周能在1100-1133点间震荡，可向上突破上看至1200点，值得关注 。</w:t>
      </w:r>
    </w:p>
    <w:p w14:paraId="590E75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：在4000-4400点区间震荡，受4000点支撑，反转信号不明确，建议观望 。</w:t>
      </w:r>
    </w:p>
    <w:p w14:paraId="7BD50E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447147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65CB2"/>
    <w:multiLevelType w:val="multilevel"/>
    <w:tmpl w:val="8A865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DE87C7"/>
    <w:multiLevelType w:val="multilevel"/>
    <w:tmpl w:val="91DE8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72BDBB9"/>
    <w:multiLevelType w:val="multilevel"/>
    <w:tmpl w:val="A72BD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D5453D"/>
    <w:multiLevelType w:val="multilevel"/>
    <w:tmpl w:val="B8D545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2C0230"/>
    <w:multiLevelType w:val="multilevel"/>
    <w:tmpl w:val="D92C02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48DCCBD"/>
    <w:multiLevelType w:val="multilevel"/>
    <w:tmpl w:val="448DCC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A934076"/>
    <w:multiLevelType w:val="multilevel"/>
    <w:tmpl w:val="4A934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A005F4E"/>
    <w:multiLevelType w:val="multilevel"/>
    <w:tmpl w:val="5A005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2D4FBB4"/>
    <w:multiLevelType w:val="multilevel"/>
    <w:tmpl w:val="72D4F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7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3B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2026-08-03T01:03:57Z</dcterms:created>
  <dc:creator>11</dc:creator>
  <cp:lastModifiedBy>赵振宇</cp:lastModifiedBy>
  <dcterms:modified xsi:type="dcterms:W3CDTF">2026-08-03T01:04:02Z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18C50EA29AE54AA38DAB69A49C41D6F0_12</vt:lpwstr>
  </property>
</Properties>
</file>