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6980B">
      <w:pPr>
        <w:pStyle w:val="2"/>
        <w:keepNext w:val="0"/>
        <w:keepLines w:val="0"/>
        <w:widowControl/>
        <w:suppressLineNumbers w:val="0"/>
      </w:pPr>
      <w:r>
        <w:t>股市行情复盘与板块走势分析</w:t>
      </w:r>
    </w:p>
    <w:p w14:paraId="71051D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</w:t>
      </w:r>
    </w:p>
    <w:p w14:paraId="42292D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：大盘及各大板块技术面分析与操作策略建议</w:t>
      </w:r>
    </w:p>
    <w:p w14:paraId="503C90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：风险与机会并存，当前多为反弹而非反转，需警惕上方压力位</w:t>
      </w:r>
    </w:p>
    <w:p w14:paraId="366E35E0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会议由分析师云主持，旨在复盘当日股市表现并预测未来走势。核心结论指出大盘在3800点附近震荡，风险未消；多数科技及消费板块仅具备短线反弹条件，缺乏反转基础；建议投资者保持谨慎，关注关键支撑与压力位，通过波段操作控制风险，避免盲目抄底。</w:t>
      </w:r>
    </w:p>
    <w:p w14:paraId="48016AAF">
      <w:pPr>
        <w:pStyle w:val="3"/>
        <w:keepNext w:val="0"/>
        <w:keepLines w:val="0"/>
        <w:widowControl/>
        <w:suppressLineNumbers w:val="0"/>
      </w:pPr>
      <w:r>
        <w:t>一、 大盘指数走势分析</w:t>
      </w:r>
    </w:p>
    <w:p w14:paraId="06CB93F1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516584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：今日回踩守住3800点，呈现小线波动状态 。</w:t>
      </w:r>
    </w:p>
    <w:p w14:paraId="120DBC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风险提示</w:t>
      </w:r>
      <w:r>
        <w:t>：风险与机会并存，若出现中阴线或大阴线跌破，下行风险较大，需保持风险意识 。</w:t>
      </w:r>
    </w:p>
    <w:p w14:paraId="76067D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展望</w:t>
      </w:r>
      <w:r>
        <w:t>：若未来3~4周能维持在3800~3900点区间震荡，再考虑向上突破的可能性 。</w:t>
      </w:r>
    </w:p>
    <w:p w14:paraId="1A2559CA">
      <w:pPr>
        <w:pStyle w:val="4"/>
        <w:keepNext w:val="0"/>
        <w:keepLines w:val="0"/>
        <w:widowControl/>
        <w:suppressLineNumbers w:val="0"/>
      </w:pPr>
      <w:r>
        <w:t>2. 深证成指</w:t>
      </w:r>
    </w:p>
    <w:p w14:paraId="3C4FF4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：高开高走，但短期面临14,000点压力，预计遇阻回落 。</w:t>
      </w:r>
    </w:p>
    <w:p w14:paraId="6EE85B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趋势判断</w:t>
      </w:r>
      <w:r>
        <w:t>：上方存在双顶压力，后市偏向于较大级别下跌 。</w:t>
      </w:r>
    </w:p>
    <w:p w14:paraId="73144B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区间预测</w:t>
      </w:r>
      <w:r>
        <w:t>：理想状态下将在13,322~14,450点区间震荡，短期恢复上涨希望不大 。</w:t>
      </w:r>
    </w:p>
    <w:p w14:paraId="3D83152E">
      <w:pPr>
        <w:pStyle w:val="4"/>
        <w:keepNext w:val="0"/>
        <w:keepLines w:val="0"/>
        <w:widowControl/>
        <w:suppressLineNumbers w:val="0"/>
      </w:pPr>
      <w:r>
        <w:t>3. 创业板指</w:t>
      </w:r>
    </w:p>
    <w:p w14:paraId="1823E9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：大幅反弹，但暂不具备恢复上涨条件 。</w:t>
      </w:r>
    </w:p>
    <w:p w14:paraId="5942B4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策略建议</w:t>
      </w:r>
      <w:r>
        <w:t>：关注3,322~3,600点区间震荡。若未来2~4周维持此区间，可尝试按“头肩底”模式博弈反转 。</w:t>
      </w:r>
    </w:p>
    <w:p w14:paraId="16D90A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压力位</w:t>
      </w:r>
      <w:r>
        <w:t>：上方3,600、3,780、4,000点压力较多，上涨不会过于强势，宜循序渐进抓上涨机会，不宜盲目抄底 。</w:t>
      </w:r>
    </w:p>
    <w:p w14:paraId="51691CFC">
      <w:pPr>
        <w:pStyle w:val="4"/>
        <w:keepNext w:val="0"/>
        <w:keepLines w:val="0"/>
        <w:widowControl/>
        <w:suppressLineNumbers w:val="0"/>
      </w:pPr>
      <w:r>
        <w:t>4. 科创50</w:t>
      </w:r>
    </w:p>
    <w:p w14:paraId="776494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：在1,550点附近出现反弹，但力度不强，仍在昨日阴线范围内波动 。</w:t>
      </w:r>
    </w:p>
    <w:p w14:paraId="22B5D7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压力与支撑</w:t>
      </w:r>
      <w:r>
        <w:t>：上方1,670点为强压力，难以突破；若后续两天继续弱势波动，可能下探至1,500点寻求更强支撑 。</w:t>
      </w:r>
    </w:p>
    <w:p w14:paraId="794039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长期展望</w:t>
      </w:r>
      <w:r>
        <w:t>：尽管可能有犀利反弹，但最终跌回1,350点下跌目标的可能性较大，需警惕双顶结构带来的误导 。</w:t>
      </w:r>
    </w:p>
    <w:p w14:paraId="2D7E0280">
      <w:pPr>
        <w:pStyle w:val="3"/>
        <w:keepNext w:val="0"/>
        <w:keepLines w:val="0"/>
        <w:widowControl/>
        <w:suppressLineNumbers w:val="0"/>
      </w:pPr>
      <w:r>
        <w:t>二、 金融板块分析</w:t>
      </w:r>
    </w:p>
    <w:p w14:paraId="5BC11D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银行</w:t>
      </w:r>
      <w:r>
        <w:t>：今日大跌主要因避险资金流向科技股。若科技股回调，银行股有望恢复上涨，保持乐观态度 。</w:t>
      </w:r>
    </w:p>
    <w:p w14:paraId="6CD023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：小幅回落，在1,720点附近徘徊，未站稳前不急于看多 。</w:t>
      </w:r>
    </w:p>
    <w:p w14:paraId="688A08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保险</w:t>
      </w:r>
      <w:r>
        <w:t>：低开低走，卡在2,900点位置。重点关注2,800点支撑，若不跌破，后续仍有上看3,000点的希望 。</w:t>
      </w:r>
    </w:p>
    <w:p w14:paraId="79CD97D0">
      <w:pPr>
        <w:pStyle w:val="3"/>
        <w:keepNext w:val="0"/>
        <w:keepLines w:val="0"/>
        <w:widowControl/>
        <w:suppressLineNumbers w:val="0"/>
      </w:pPr>
      <w:r>
        <w:t>三、 科技板块详细研判</w:t>
      </w:r>
    </w:p>
    <w:p w14:paraId="61D5527A">
      <w:pPr>
        <w:pStyle w:val="5"/>
        <w:keepNext w:val="0"/>
        <w:keepLines w:val="0"/>
        <w:widowControl/>
        <w:suppressLineNumbers w:val="0"/>
      </w:pPr>
      <w:r>
        <w:t>整体观点：科技股波动大，当前多为支撑位引发的反弹，而非趋势性反转，需侧重分析结构 。</w:t>
      </w:r>
    </w:p>
    <w:tbl>
      <w:tblPr>
        <w:tblW w:w="0" w:type="auto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848"/>
        <w:gridCol w:w="2351"/>
        <w:gridCol w:w="5287"/>
      </w:tblGrid>
      <w:tr w14:paraId="0711D08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A53D5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细分领域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15C1B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关键点位/区间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5D0F3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走势判断与策略</w:t>
            </w:r>
          </w:p>
        </w:tc>
      </w:tr>
      <w:tr w14:paraId="0644D67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DC6B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半导体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A430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支撑7,000；区间7,000~8,000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1188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自然反弹，理想结果为区间震荡。若无法突破，需防备向下破位 。</w:t>
            </w:r>
          </w:p>
        </w:tc>
      </w:tr>
      <w:tr w14:paraId="034EB86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FA9F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元件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C306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支撑10,000；压力11,470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C72F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利用支撑位做短线反弹（约10%收益），遇11,470点压力将回落，无反转可能 。</w:t>
            </w:r>
          </w:p>
        </w:tc>
      </w:tr>
      <w:tr w14:paraId="61E3C6A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49E1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光学光电子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4130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支撑1,300；压力1,400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3D3A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左侧支撑区域反弹，缺乏筑底过程，反弹高点看至1,400点左右 。</w:t>
            </w:r>
          </w:p>
        </w:tc>
      </w:tr>
      <w:tr w14:paraId="161EF06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05E7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消费电子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6A8F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区间4,330~4,900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CD61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上方有明确双顶，当前横盘视为下跌中继，后续向下风险更大 。</w:t>
            </w:r>
          </w:p>
        </w:tc>
      </w:tr>
      <w:tr w14:paraId="0BA1F42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80E1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电子化学品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1847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支撑1,500；区间1,500~1,880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54C8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支撑处反弹，仅视为震荡反弹，不具备反转条件 。</w:t>
            </w:r>
          </w:p>
        </w:tc>
      </w:tr>
      <w:tr w14:paraId="248FE60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1F08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计算机设备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FBE5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关键位1,800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30FC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归纳为骑行之下区间，需观察下周能否守住1,800点以决定后续看涨逻辑 。</w:t>
            </w:r>
          </w:p>
        </w:tc>
      </w:tr>
      <w:tr w14:paraId="072D11D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5289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IT服务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F917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支撑1,000；目标1,170~1,200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14FE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从下跌减速转为突破震荡，看好进一步上涨至1,170甚至1,200点 。</w:t>
            </w:r>
          </w:p>
        </w:tc>
      </w:tr>
      <w:tr w14:paraId="39951E7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3AFB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软件开发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F792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压力800；区间732~800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7068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小底部明确，上看800点后遇阻回落，需观察1个月能否形成头肩底再博反转 。</w:t>
            </w:r>
          </w:p>
        </w:tc>
      </w:tr>
      <w:tr w14:paraId="6639B37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74C7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通信设备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7540F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压力6,000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FDE7F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反弹幅度大但未触及重要历史支撑，5,000点仅为整数关口。警惕6,000点压力，遇阻回落概率大 。</w:t>
            </w:r>
          </w:p>
        </w:tc>
      </w:tr>
    </w:tbl>
    <w:p w14:paraId="56A9AFB8">
      <w:pPr>
        <w:pStyle w:val="3"/>
        <w:keepNext w:val="0"/>
        <w:keepLines w:val="0"/>
        <w:widowControl/>
        <w:suppressLineNumbers w:val="0"/>
      </w:pPr>
      <w:r>
        <w:t>四、 其他行业板块分析</w:t>
      </w:r>
    </w:p>
    <w:p w14:paraId="0701436C">
      <w:pPr>
        <w:pStyle w:val="4"/>
        <w:keepNext w:val="0"/>
        <w:keepLines w:val="0"/>
        <w:widowControl/>
        <w:suppressLineNumbers w:val="0"/>
      </w:pPr>
      <w:r>
        <w:t>1. 传媒与军工</w:t>
      </w:r>
    </w:p>
    <w:p w14:paraId="0BE4E5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游戏</w:t>
      </w:r>
      <w:r>
        <w:t>：1,200~1,400点震荡，规模较小，若持续震荡可观察头肩底形态 。</w:t>
      </w:r>
    </w:p>
    <w:p w14:paraId="32B649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影视院线</w:t>
      </w:r>
      <w:r>
        <w:t>：震荡规模小，仅看反弹，上方1,000点压力大，上涨潜力有限 。</w:t>
      </w:r>
    </w:p>
    <w:p w14:paraId="60EFB1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广告营销</w:t>
      </w:r>
      <w:r>
        <w:t>：800点支撑形成小底部，反弹高点看至1,000点左右 。</w:t>
      </w:r>
    </w:p>
    <w:p w14:paraId="529E8D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军工（航天装备）</w:t>
      </w:r>
      <w:r>
        <w:t>：4,000~4,482点震荡，无底部吸筹迹象，反弹高点看至5,000点左右 。</w:t>
      </w:r>
    </w:p>
    <w:p w14:paraId="090C0D61">
      <w:pPr>
        <w:pStyle w:val="4"/>
        <w:keepNext w:val="0"/>
        <w:keepLines w:val="0"/>
        <w:widowControl/>
        <w:suppressLineNumbers w:val="0"/>
      </w:pPr>
      <w:r>
        <w:t>2. 大消费与医药</w:t>
      </w:r>
    </w:p>
    <w:p w14:paraId="2F2EEC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白酒</w:t>
      </w:r>
      <w:r>
        <w:t>：未触及500点即回落，守住上周四低点则仍具反弹结构，但缺乏长时间筑底，上涨潜力不被看好 。</w:t>
      </w:r>
    </w:p>
    <w:p w14:paraId="7CF0B1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：跟踪990~1,100点区间，短期反弹先看1,050点。因筹码分散，不具备主升浪爆发条件 。</w:t>
      </w:r>
    </w:p>
    <w:p w14:paraId="587CD1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：大阳线确认调整结束，持续看涨。目标6,000点（非终点），但此处为强压力位，建议减仓风控，待调整后再接回 。</w:t>
      </w:r>
    </w:p>
    <w:p w14:paraId="3EF238D6">
      <w:pPr>
        <w:pStyle w:val="4"/>
        <w:keepNext w:val="0"/>
        <w:keepLines w:val="0"/>
        <w:widowControl/>
        <w:suppressLineNumbers w:val="0"/>
      </w:pPr>
      <w:r>
        <w:t>3. 新能源与资源</w:t>
      </w:r>
    </w:p>
    <w:p w14:paraId="3424A9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：828~853点震荡，呈现小头肩底形态，有望向上突破看至900点 。</w:t>
      </w:r>
    </w:p>
    <w:p w14:paraId="500B2C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：407~453点震荡</w:t>
      </w:r>
      <w:bookmarkStart w:id="0" w:name="_GoBack"/>
      <w:r>
        <w:t>，无明显反转信号，建议观望 。</w:t>
      </w:r>
    </w:p>
    <w:p w14:paraId="02AD1AC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</w:t>
      </w:r>
      <w:r>
        <w:t>：窄幅区间停留</w:t>
      </w:r>
      <w:bookmarkEnd w:id="0"/>
      <w:r>
        <w:t>1~2周后，再看向上至6,000点 。</w:t>
      </w:r>
    </w:p>
    <w:p w14:paraId="450ED6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小金属/工业金属</w:t>
      </w:r>
      <w:r>
        <w:t>：小金属反弹看6,000点；工业金属在3,450点以上震荡，高点看3,820点 。</w:t>
      </w:r>
    </w:p>
    <w:p w14:paraId="6901400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：500~540点长时间震荡，短期向好，有望博至600点 。</w:t>
      </w:r>
    </w:p>
    <w:p w14:paraId="2B900A53">
      <w:pPr>
        <w:pStyle w:val="4"/>
        <w:keepNext w:val="0"/>
        <w:keepLines w:val="0"/>
        <w:widowControl/>
        <w:suppressLineNumbers w:val="0"/>
      </w:pPr>
      <w:r>
        <w:t>4. 高端制造与其他</w:t>
      </w:r>
    </w:p>
    <w:p w14:paraId="7CC343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塑料/通用/专用设备</w:t>
      </w:r>
      <w:r>
        <w:t>：均为下跌过程中的反弹或震荡，不具备持续上涨或反转潜力。专用设备反弹看至2,670点左右 。</w:t>
      </w:r>
    </w:p>
    <w:p w14:paraId="46B21D2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：1,100~1,133点区间震荡是关键，若维持一周可按双底模式跟踪 。</w:t>
      </w:r>
    </w:p>
    <w:p w14:paraId="137EB7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：4,000~4,400点波动，上方头部明确，非底部震荡，上行希望不大 。</w:t>
      </w:r>
    </w:p>
    <w:p w14:paraId="689346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农商建交</w:t>
      </w:r>
      <w:r>
        <w:t>：暂无过多关注价值 。</w:t>
      </w:r>
    </w:p>
    <w:p w14:paraId="744979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88BFC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827B0"/>
    <w:multiLevelType w:val="multilevel"/>
    <w:tmpl w:val="86D827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155B1D"/>
    <w:multiLevelType w:val="multilevel"/>
    <w:tmpl w:val="9E155B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3C58E0"/>
    <w:multiLevelType w:val="multilevel"/>
    <w:tmpl w:val="A93C58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81A43CA"/>
    <w:multiLevelType w:val="multilevel"/>
    <w:tmpl w:val="C81A43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B787F1A"/>
    <w:multiLevelType w:val="multilevel"/>
    <w:tmpl w:val="DB787F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DF39A7F"/>
    <w:multiLevelType w:val="multilevel"/>
    <w:tmpl w:val="FDF39A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859959F"/>
    <w:multiLevelType w:val="multilevel"/>
    <w:tmpl w:val="185995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92B1F68"/>
    <w:multiLevelType w:val="multilevel"/>
    <w:tmpl w:val="292B1F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1EBA877"/>
    <w:multiLevelType w:val="multilevel"/>
    <w:tmpl w:val="51EBA8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4D19CBE"/>
    <w:multiLevelType w:val="multilevel"/>
    <w:tmpl w:val="74D19C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6B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2026-08-27T01:02:27Z</dcterms:created>
  <dc:creator>11</dc:creator>
  <cp:lastModifiedBy>赵振宇</cp:lastModifiedBy>
  <dcterms:modified xsi:type="dcterms:W3CDTF">2026-08-27T01:02:34Z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AA49398DA96742D5934D624112D3D802_12</vt:lpwstr>
  </property>
</Properties>
</file>