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EE428">
      <w:pPr>
        <w:pStyle w:val="2"/>
        <w:keepNext w:val="0"/>
        <w:keepLines w:val="0"/>
        <w:widowControl/>
        <w:suppressLineNumbers w:val="0"/>
      </w:pPr>
      <w:r>
        <w:t>股市大盘及板块走势技术分析与策略研判</w:t>
      </w:r>
    </w:p>
    <w:p w14:paraId="69DF64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：周五股市复盘与后续行情推演</w:t>
      </w:r>
    </w:p>
    <w:p w14:paraId="57F739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369E81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：大盘指数趋势判断、主要行业板块技术面分析及操作建议</w:t>
      </w:r>
    </w:p>
    <w:p w14:paraId="60E2868C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会议由分析师云主持，旨在对突破3900点后的大盘及各细分板块进行技术梳理。核心结论认为大盘处于上涨中继的喇叭口震荡形态，短期需在3900-4000点整理。针对证券、科技、消费、能源等板块，会议指出了关键支撑与压力位，强调宽幅区间内的大阳线多为诱多而非突破信号，建议投资者保持耐心，依据特定形态（如双底、头肩底）进行波段操作或低吸布局。</w:t>
      </w:r>
    </w:p>
    <w:p w14:paraId="7B35DCC2">
      <w:pPr>
        <w:pStyle w:val="3"/>
        <w:keepNext w:val="0"/>
        <w:keepLines w:val="0"/>
        <w:widowControl/>
        <w:suppressLineNumbers w:val="0"/>
      </w:pPr>
      <w:r>
        <w:t>一、 大盘指数整体研判</w:t>
      </w:r>
    </w:p>
    <w:p w14:paraId="0FDFBA45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653118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形态特征</w:t>
      </w:r>
      <w:r>
        <w:t>：大盘昨日突破3900点，此前在3700点下方震荡十年形成大规模底部，第一趋势目标看至7400点 。近期行情呈现“喇叭口”形态，即高点创新高、低点创新低，易出现诱空或诱多动作，但整体仍判定为大级别上涨中继 。</w:t>
      </w:r>
    </w:p>
    <w:p w14:paraId="4841BC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短期展望</w:t>
      </w:r>
      <w:r>
        <w:t>：预计将在3900~4000点之间震荡至少两周，随后再考虑向上突破 。</w:t>
      </w:r>
    </w:p>
    <w:p w14:paraId="5456FE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压力位关注</w:t>
      </w:r>
      <w:r>
        <w:t>：需警惕上方4074点及4200点区域的压力 。</w:t>
      </w:r>
    </w:p>
    <w:p w14:paraId="40A7351F">
      <w:pPr>
        <w:pStyle w:val="4"/>
        <w:keepNext w:val="0"/>
        <w:keepLines w:val="0"/>
        <w:widowControl/>
        <w:suppressLineNumbers w:val="0"/>
      </w:pPr>
      <w:r>
        <w:t>2. 深证成指与创业板指</w:t>
      </w:r>
    </w:p>
    <w:p w14:paraId="0216A6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：当前面临14450点压力，上方存在双顶形态，直接上行希望不大，需在14000点区域多震荡一段时间 。</w:t>
      </w:r>
    </w:p>
    <w:p w14:paraId="433BE3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：在3600点遇阻回落，底部形态不理想。若未来能在3322~3600点之间震荡两周，可视为阶段性底部并考虑博弈向上 。</w:t>
      </w:r>
    </w:p>
    <w:p w14:paraId="0C601493">
      <w:pPr>
        <w:pStyle w:val="4"/>
        <w:keepNext w:val="0"/>
        <w:keepLines w:val="0"/>
        <w:widowControl/>
        <w:suppressLineNumbers w:val="0"/>
      </w:pPr>
      <w:r>
        <w:t>3. 上证50</w:t>
      </w:r>
    </w:p>
    <w:p w14:paraId="04D541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现状分析</w:t>
      </w:r>
      <w:r>
        <w:t>：虽现四连阳并突破上周五高点，但上方双顶规模较大，目前仅8天小横盘不足以实现反转 。</w:t>
      </w:r>
    </w:p>
    <w:p w14:paraId="589DCB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：预计在1732点左右继续震荡，暂不具备直接大幅上行条件 。</w:t>
      </w:r>
    </w:p>
    <w:p w14:paraId="3FC4E14D">
      <w:pPr>
        <w:pStyle w:val="3"/>
        <w:keepNext w:val="0"/>
        <w:keepLines w:val="0"/>
        <w:widowControl/>
        <w:suppressLineNumbers w:val="0"/>
      </w:pPr>
      <w:r>
        <w:t>二、 金融板块分析</w:t>
      </w:r>
    </w:p>
    <w:p w14:paraId="56E3DE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：目前在1720点附近徘徊，无启动迹象。该板块时间成本高、波动率低，适合资金充裕且耐心足的长期持有者，不适合追求交易活性的短线资金 。</w:t>
      </w:r>
    </w:p>
    <w:p w14:paraId="68C680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：在2800点位置震荡，预期波动区间为2800~2900点。近期停顿表现不佳，若破位下行，下方支撑看至2700点左右 。</w:t>
      </w:r>
    </w:p>
    <w:p w14:paraId="554B6C34">
      <w:pPr>
        <w:pStyle w:val="3"/>
        <w:keepNext w:val="0"/>
        <w:keepLines w:val="0"/>
        <w:widowControl/>
        <w:suppressLineNumbers w:val="0"/>
      </w:pPr>
      <w:r>
        <w:t>三、 科技板块详细解读</w:t>
      </w:r>
    </w:p>
    <w:p w14:paraId="5411523A">
      <w:pPr>
        <w:pStyle w:val="4"/>
        <w:keepNext w:val="0"/>
        <w:keepLines w:val="0"/>
        <w:widowControl/>
        <w:suppressLineNumbers w:val="0"/>
      </w:pPr>
      <w:r>
        <w:t>1. 半导体与元件</w:t>
      </w:r>
    </w:p>
    <w:p w14:paraId="4F4077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：昨日低开高走回踩确认8000点支撑，若未来三天能守住，可按小双底模式跟踪看至900点。但因前期确立大级别头部，当前突破仅为大级别反弹后的下行中继，建议保守对待，仅做小级别波段试仓 。</w:t>
      </w:r>
    </w:p>
    <w:p w14:paraId="3ABFB6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：突破12971点，成交量放大，短期内在13650点压力位处回落可能性较大 。</w:t>
      </w:r>
    </w:p>
    <w:p w14:paraId="58C5039C">
      <w:pPr>
        <w:pStyle w:val="4"/>
        <w:keepNext w:val="0"/>
        <w:keepLines w:val="0"/>
        <w:widowControl/>
        <w:suppressLineNumbers w:val="0"/>
      </w:pPr>
      <w:r>
        <w:t>2. 光学光电子与消费电子</w:t>
      </w:r>
    </w:p>
    <w:p w14:paraId="51180C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：突破1400点，若未来两周能守住该点位，可确认为双底形态并恢复看涨，目标看向1400~1500点震荡 。</w:t>
      </w:r>
    </w:p>
    <w:p w14:paraId="6E643A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：上方存在大规模头部，当前小横盘不具备逆转下跌趋势条件。关注5000点压力，若遇阻回落，需观察未来一两周能否在5000点附近震荡以博弈突破 。</w:t>
      </w:r>
    </w:p>
    <w:p w14:paraId="0FAE975E">
      <w:pPr>
        <w:pStyle w:val="4"/>
        <w:keepNext w:val="0"/>
        <w:keepLines w:val="0"/>
        <w:widowControl/>
        <w:suppressLineNumbers w:val="0"/>
      </w:pPr>
      <w:r>
        <w:t>3. 其他科技细分</w:t>
      </w:r>
    </w:p>
    <w:p w14:paraId="0D917F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：已突破，但面临2000点即时压力。若未来一周维持在1877~2000点震荡，可考虑进一步向上博弈 。</w:t>
      </w:r>
    </w:p>
    <w:p w14:paraId="688F82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：连续两天守住周三低点，在1885点压力位处停顿，呈现短期向上突破征兆 。</w:t>
      </w:r>
    </w:p>
    <w:p w14:paraId="348EB3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：在周三阳线范围内停顿，预计进一步看至1168点 。</w:t>
      </w:r>
    </w:p>
    <w:p w14:paraId="537C4F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：在800点压力位波动，缺乏明显中继过程。若下跌后三天内仍在周三阳线范围内波动，可考虑博弈上行 。</w:t>
      </w:r>
    </w:p>
    <w:p w14:paraId="1878D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：未跨越6000点压力，无明显底部形态，不具备持续上行条件 。</w:t>
      </w:r>
    </w:p>
    <w:p w14:paraId="6B119C61">
      <w:pPr>
        <w:pStyle w:val="3"/>
        <w:keepNext w:val="0"/>
        <w:keepLines w:val="0"/>
        <w:widowControl/>
        <w:suppressLineNumbers w:val="0"/>
      </w:pPr>
      <w:r>
        <w:t>四、 军工、传媒与游戏板块</w:t>
      </w:r>
    </w:p>
    <w:p w14:paraId="0C7A49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游戏传媒</w:t>
      </w:r>
      <w:r>
        <w:t>：可操作性不大 。</w:t>
      </w:r>
    </w:p>
    <w:p w14:paraId="033DA6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：仅突破下方小横盘反弹，看至5000点附近，不具备持续上行条件 。</w:t>
      </w:r>
    </w:p>
    <w:p w14:paraId="2CA201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：近期密集小阳线拉升，后期往往会有加速爆发过程 。</w:t>
      </w:r>
    </w:p>
    <w:p w14:paraId="7E65BF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：呈小碎线拉升态势，需重视1400点压力位的遇阻回落风险 。</w:t>
      </w:r>
    </w:p>
    <w:p w14:paraId="1969A730">
      <w:pPr>
        <w:pStyle w:val="3"/>
        <w:keepNext w:val="0"/>
        <w:keepLines w:val="0"/>
        <w:widowControl/>
        <w:suppressLineNumbers w:val="0"/>
      </w:pPr>
      <w:r>
        <w:t>五、 消费与医药板块</w:t>
      </w:r>
    </w:p>
    <w:p w14:paraId="5AF24CE9">
      <w:pPr>
        <w:pStyle w:val="4"/>
        <w:keepNext w:val="0"/>
        <w:keepLines w:val="0"/>
        <w:widowControl/>
        <w:suppressLineNumbers w:val="0"/>
      </w:pPr>
      <w:r>
        <w:t>1. 大消费</w:t>
      </w:r>
    </w:p>
    <w:p w14:paraId="7E838D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：小幅反弹，但看涨形态不理想。重点关注466点支撑位的震荡情况 。</w:t>
      </w:r>
    </w:p>
    <w:p w14:paraId="0301B921">
      <w:pPr>
        <w:pStyle w:val="4"/>
        <w:keepNext w:val="0"/>
        <w:keepLines w:val="0"/>
        <w:widowControl/>
        <w:suppressLineNumbers w:val="0"/>
      </w:pPr>
      <w:r>
        <w:t>2. 医药生物</w:t>
      </w:r>
    </w:p>
    <w:p w14:paraId="274649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：昨日收大阳线，但应归纳为1100~990点的宽幅区间。区间内的大阳线多为诱多效应，非突破征兆，追高易陷入尴尬境地，行情将在上边界回落 。</w:t>
      </w:r>
    </w:p>
    <w:p w14:paraId="6E6629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：在2500~2700点横盘，2700点附近成交量大，暂不具备突破条件。但横盘区间形成预示后市有较大上涨势能 。</w:t>
      </w:r>
    </w:p>
    <w:p w14:paraId="627457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生物制品</w:t>
      </w:r>
      <w:r>
        <w:t>：在1260~1400点宽幅区间震荡，大阳线非突破信号，需耐心等待区间震荡完成 。</w:t>
      </w:r>
    </w:p>
    <w:p w14:paraId="0C8EC6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中药</w:t>
      </w:r>
      <w:r>
        <w:t>：在1000点下方形成三角形整理，后市看涨，但突破1000点压力需更多时间震荡 。</w:t>
      </w:r>
    </w:p>
    <w:p w14:paraId="7EA72F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：大幅上涨兑现6000点目标。因下方箱体规模大，6000点处虽有回落，但震荡后仍有上涨空间，值得持续跟踪 。</w:t>
      </w:r>
    </w:p>
    <w:p w14:paraId="720EB39D">
      <w:pPr>
        <w:pStyle w:val="3"/>
        <w:keepNext w:val="0"/>
        <w:keepLines w:val="0"/>
        <w:widowControl/>
        <w:suppressLineNumbers w:val="0"/>
      </w:pPr>
      <w:r>
        <w:t>六、 能源、材料与工业板块</w:t>
      </w:r>
    </w:p>
    <w:p w14:paraId="3023CAAE">
      <w:pPr>
        <w:pStyle w:val="4"/>
        <w:keepNext w:val="0"/>
        <w:keepLines w:val="0"/>
        <w:widowControl/>
        <w:suppressLineNumbers w:val="0"/>
      </w:pPr>
      <w:r>
        <w:t>1. 传统能源</w:t>
      </w:r>
    </w:p>
    <w:p w14:paraId="544940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：在1736~1867点区间波动，周四的大阳线非突破信号，行情仍需维持震荡 。</w:t>
      </w:r>
    </w:p>
    <w:p w14:paraId="676B8F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：持续攀升，目标看至1200点左右 。</w:t>
      </w:r>
    </w:p>
    <w:p w14:paraId="5D4DDC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：在2065~2168点区间运行，目前已至支撑处，短期有反弹预期，但主升浪希望不大 。</w:t>
      </w:r>
    </w:p>
    <w:p w14:paraId="1B3690F4">
      <w:pPr>
        <w:pStyle w:val="4"/>
        <w:keepNext w:val="0"/>
        <w:keepLines w:val="0"/>
        <w:widowControl/>
        <w:suppressLineNumbers w:val="0"/>
      </w:pPr>
      <w:r>
        <w:t>2. 新能源与电池</w:t>
      </w:r>
    </w:p>
    <w:p w14:paraId="7D316C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：关键位853.7（头肩底颈线位）未站稳。若下周能站上854点，可看至900点；否则涨跌难判 。</w:t>
      </w:r>
    </w:p>
    <w:p w14:paraId="5373F4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：突破454点，若未来三天守住该点位，可进一步看至500点 。</w:t>
      </w:r>
    </w:p>
    <w:p w14:paraId="7223411B">
      <w:pPr>
        <w:pStyle w:val="4"/>
        <w:keepNext w:val="0"/>
        <w:keepLines w:val="0"/>
        <w:widowControl/>
        <w:suppressLineNumbers w:val="0"/>
      </w:pPr>
      <w:r>
        <w:t>3. 有色金属</w:t>
      </w:r>
    </w:p>
    <w:p w14:paraId="22F676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：阳包阴，关注6000点压力。若遇阻回落并在该位置震荡一周，可博弈突破，下一目标6800点 。</w:t>
      </w:r>
    </w:p>
    <w:p w14:paraId="300A55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：持续拉升，6400点转为支撑。未来3~5天回踩不破可看至7000点 。</w:t>
      </w:r>
    </w:p>
    <w:p w14:paraId="59E016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：阳包阴，看至4000点后将面临明显调整 。</w:t>
      </w:r>
    </w:p>
    <w:p w14:paraId="1E8F6D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：下方有小规模横盘，看好进一步看至600点左右 。</w:t>
      </w:r>
    </w:p>
    <w:p w14:paraId="0F1342D8">
      <w:pPr>
        <w:pStyle w:val="4"/>
        <w:keepNext w:val="0"/>
        <w:keepLines w:val="0"/>
        <w:widowControl/>
        <w:suppressLineNumbers w:val="0"/>
      </w:pPr>
      <w:r>
        <w:t>4. 工业制造</w:t>
      </w:r>
    </w:p>
    <w:p w14:paraId="218535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：持续反弹，看至2800点，若短期调整至2500点可考虑低吸 。</w:t>
      </w:r>
    </w:p>
    <w:p w14:paraId="7CDC83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：突破2670点支撑，确认为双底形态，进一步看至92900点左右 。</w:t>
      </w:r>
    </w:p>
    <w:p w14:paraId="44EB74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：在1100点附近徘徊，无上攻明确条件，需等待 。</w:t>
      </w:r>
    </w:p>
    <w:p w14:paraId="4F5CBD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：反弹中，关注4500点压力，预计遇阻回落 。</w:t>
      </w:r>
    </w:p>
    <w:p w14:paraId="5C3828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21838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443D6"/>
    <w:multiLevelType w:val="multilevel"/>
    <w:tmpl w:val="86F44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75A1C9"/>
    <w:multiLevelType w:val="multilevel"/>
    <w:tmpl w:val="B775A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2CE0D0"/>
    <w:multiLevelType w:val="multilevel"/>
    <w:tmpl w:val="B82CE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816A23"/>
    <w:multiLevelType w:val="multilevel"/>
    <w:tmpl w:val="D3816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05DC4E7"/>
    <w:multiLevelType w:val="multilevel"/>
    <w:tmpl w:val="E05DC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6766D0"/>
    <w:multiLevelType w:val="multilevel"/>
    <w:tmpl w:val="E8676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55E62A"/>
    <w:multiLevelType w:val="multilevel"/>
    <w:tmpl w:val="FD55E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D8600A"/>
    <w:multiLevelType w:val="multilevel"/>
    <w:tmpl w:val="FED86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7C94CC"/>
    <w:multiLevelType w:val="multilevel"/>
    <w:tmpl w:val="FF7C9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50D0AD3"/>
    <w:multiLevelType w:val="multilevel"/>
    <w:tmpl w:val="150D0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6BC7081"/>
    <w:multiLevelType w:val="multilevel"/>
    <w:tmpl w:val="46BC7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B327F87"/>
    <w:multiLevelType w:val="multilevel"/>
    <w:tmpl w:val="4B327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52E91D7"/>
    <w:multiLevelType w:val="multilevel"/>
    <w:tmpl w:val="652E9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B03A4FF"/>
    <w:multiLevelType w:val="multilevel"/>
    <w:tmpl w:val="6B03A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B21A15D"/>
    <w:multiLevelType w:val="multilevel"/>
    <w:tmpl w:val="7B21A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7"/>
  </w:num>
  <w:num w:numId="5">
    <w:abstractNumId w:val="3"/>
  </w:num>
  <w:num w:numId="6">
    <w:abstractNumId w:val="9"/>
  </w:num>
  <w:num w:numId="7">
    <w:abstractNumId w:val="14"/>
  </w:num>
  <w:num w:numId="8">
    <w:abstractNumId w:val="10"/>
  </w:num>
  <w:num w:numId="9">
    <w:abstractNumId w:val="5"/>
  </w:num>
  <w:num w:numId="10">
    <w:abstractNumId w:val="8"/>
  </w:num>
  <w:num w:numId="11">
    <w:abstractNumId w:val="4"/>
  </w:num>
  <w:num w:numId="12">
    <w:abstractNumId w:val="12"/>
  </w:num>
  <w:num w:numId="13">
    <w:abstractNumId w:val="0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D166C"/>
    <w:rsid w:val="32B8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2026-08-27T01:08:59Z</dcterms:created>
  <dc:creator>11</dc:creator>
  <cp:lastModifiedBy>赵振宇</cp:lastModifiedBy>
  <dcterms:modified xsi:type="dcterms:W3CDTF">2026-08-27T01:09:14Z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D6186312865F41D5BE86BF388E1F6559_12</vt:lpwstr>
  </property>
</Properties>
</file>