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512C0">
      <w:pPr>
        <w:pStyle w:val="2"/>
        <w:keepNext w:val="0"/>
        <w:keepLines w:val="0"/>
        <w:widowControl/>
        <w:suppressLineNumbers w:val="0"/>
      </w:pPr>
      <w:r>
        <w:t>股市行情复盘与板块技术面分析</w:t>
      </w:r>
    </w:p>
    <w:p w14:paraId="23E051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：大盘走势研判及各大板块技术面分析与策略建议</w:t>
      </w:r>
    </w:p>
    <w:p w14:paraId="74B605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：云起来</w:t>
      </w:r>
    </w:p>
    <w:p w14:paraId="58816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：大盘短期面临回调风险，科技股进入调整期，部分板块需警惕进一步下跌</w:t>
      </w:r>
    </w:p>
    <w:p w14:paraId="239CE72B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主要板块近期走势，指出上证指数若跌破4000点将开启下跌结构，科技股因超买出现大幅回调，半导体、消费电子等板块短期难恢复上涨。建议关注关键支撑位如10000点、3900点等，对黄金、工程机械等板块的反弹持谨慎态度，强调风险控制与震荡整理预期。</w:t>
      </w:r>
    </w:p>
    <w:p w14:paraId="0810EC82">
      <w:pPr>
        <w:pStyle w:val="3"/>
        <w:keepNext w:val="0"/>
        <w:keepLines w:val="0"/>
        <w:widowControl/>
        <w:suppressLineNumbers w:val="0"/>
      </w:pPr>
      <w:r>
        <w:t>大盘整体走势研判</w:t>
      </w:r>
    </w:p>
    <w:p w14:paraId="1B9709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：昨日突破带有诱多性质，今日回落至上周五阴线范围内 。4000点附近存在支撑，若在此位置小幅波动需警惕向下破位风险 。一旦跌破4000点，行情可能进入下跌结构，首要目标看至3900点左右 。若未来3-5天能反包今日阴线，方可恢复看涨观点 。若跌破4000点并在附近反复，后续可能进一步下跌至3780点左右 。</w:t>
      </w:r>
    </w:p>
    <w:p w14:paraId="4DEC48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：未能守住15,700点，短期退守至15,250或15,000点附近，直接恢复上涨希望不大 。</w:t>
      </w:r>
    </w:p>
    <w:p w14:paraId="60FD09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：大幅跳水跌破4,150点，回到4,000点支撑位 。若在4,000点获得支撑可期待反弹，否则需考虑进一步下跌风险 。</w:t>
      </w:r>
    </w:p>
    <w:p w14:paraId="5E9B35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科创板</w:t>
      </w:r>
      <w:r>
        <w:t>：继续跳水，虽短暂跌破2,000点但幅度较小，预计在今日阴线范围内震荡后，进一步看向1,900点 。目前视为中等级别调整，后续仍有主升浪可能性，不必过度悲观 。</w:t>
      </w:r>
    </w:p>
    <w:p w14:paraId="2DC93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证券板块</w:t>
      </w:r>
      <w:r>
        <w:t>：收盘价卡在昨日阳线实体中点，显示回调力度有限 。若未来两天能守住该位置，短期上涨希望较大；若守不住，则主要在昨日阳线范围内震荡，跌破昨日低点风险不大 。</w:t>
      </w:r>
    </w:p>
    <w:p w14:paraId="4128B515">
      <w:pPr>
        <w:pStyle w:val="3"/>
        <w:keepNext w:val="0"/>
        <w:keepLines w:val="0"/>
        <w:widowControl/>
        <w:suppressLineNumbers w:val="0"/>
      </w:pPr>
      <w:r>
        <w:t>重点板块技术分析</w:t>
      </w:r>
    </w:p>
    <w:p w14:paraId="4A1D3A5C">
      <w:pPr>
        <w:pStyle w:val="4"/>
        <w:keepNext w:val="0"/>
        <w:keepLines w:val="0"/>
        <w:widowControl/>
        <w:suppressLineNumbers w:val="0"/>
      </w:pPr>
      <w:r>
        <w:t>科技板块</w:t>
      </w:r>
    </w:p>
    <w:p w14:paraId="1AA703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：经历长期大幅上涨及超买滞涨后，下跌力度较大符合技术常识 。此前已提示进入看涨但不追涨、需设置保护性止盈阶段 。跌破周二低点意味着本轮上涨结束，但非整体牛市结束 。目前在10,620点附近守住，预计震荡后下探至10,000点附近寻求反弹 。10,000点至10,620点区间将形成震荡，短期博取主升浪可能性低，可利用10,000点位置做强反弹 。</w:t>
      </w:r>
    </w:p>
    <w:p w14:paraId="2425BB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：跌破横盘，关注15,000点支撑，反弹高点看至16,166点，恢复上涨需较长时间 。</w:t>
      </w:r>
    </w:p>
    <w:p w14:paraId="7877C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：2,000点关口遇阻回落，目前在周二阳线范围内震荡 。若能维持一周震荡可博取上行，若跌破周二低点则可能回至1,800点附近，震荡时间延长 。</w:t>
      </w:r>
    </w:p>
    <w:p w14:paraId="3E3901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：大幅跳水至5,400点附近，上方密集区构成压力，短期恢复上涨希望不大，以震荡调整为主 。</w:t>
      </w:r>
    </w:p>
    <w:p w14:paraId="7ACFC7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：回落至周一低点附近（2,500-2,550点区域），此处会有反弹，但短期难恢复上涨，偏向震荡 。</w:t>
      </w:r>
    </w:p>
    <w:p w14:paraId="4FB975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：回到1,844点附近，呈现震荡下行态势，未现理想底部，短期直接上行希望不大 。上方1,960-2,000点压力较重，接下来关注1,800-1,840点区域支撑 。</w:t>
      </w:r>
    </w:p>
    <w:p w14:paraId="2557F4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通讯设备</w:t>
      </w:r>
      <w:r>
        <w:t>：此前已跌破保护性止盈位，今日大幅跳水，下一步看跌至7,000点附近反弹，反弹目标看至7,500点，短期恢复上涨可能性极低 。</w:t>
      </w:r>
    </w:p>
    <w:p w14:paraId="140CD330">
      <w:pPr>
        <w:pStyle w:val="4"/>
        <w:keepNext w:val="0"/>
        <w:keepLines w:val="0"/>
        <w:widowControl/>
        <w:suppressLineNumbers w:val="0"/>
      </w:pPr>
      <w:r>
        <w:t>其他行业板块</w:t>
      </w:r>
    </w:p>
    <w:p w14:paraId="3ED332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军工（航天装备）</w:t>
      </w:r>
      <w:r>
        <w:t>：不具备持续上行条件，目前在5,000-6,000点区间震荡，震荡时间越久后期上行希望越大，当前无突破信号 。</w:t>
      </w:r>
    </w:p>
    <w:p w14:paraId="369D53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消费（创新药）</w:t>
      </w:r>
      <w:r>
        <w:t>：回落至通道上轨附近，1,050点压力较重，短期仍有波折 。关注昨日阳线实体中点约990点位置，若能维持1-2周震荡再考虑上行，当前侧重风险提示 。</w:t>
      </w:r>
    </w:p>
    <w:p w14:paraId="59C6F6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：明显下跌但仍处于周一阳线范围内震荡，未跌破周一低点，保持乐观，后期仍有上涨空间 。</w:t>
      </w:r>
    </w:p>
    <w:p w14:paraId="7D4D46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</w:t>
      </w:r>
      <w:r>
        <w:t>：</w:t>
      </w:r>
    </w:p>
    <w:p w14:paraId="0119B8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：继续反弹，但空间有限，高点看至1,700点附近 。</w:t>
      </w:r>
    </w:p>
    <w:p w14:paraId="57C1E7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：无明显好转，卡在2,100点压力处，后期回落至2,000点可能性较大 。</w:t>
      </w:r>
    </w:p>
    <w:p w14:paraId="489095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新能源</w:t>
      </w:r>
      <w:r>
        <w:t>：</w:t>
      </w:r>
    </w:p>
    <w:p w14:paraId="58FDF8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：受压于950点下方，乐观预期在900-1,000点区间震荡，暂无方向选择信号 。</w:t>
      </w:r>
    </w:p>
    <w:p w14:paraId="68C53A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：跌破540点关键位，进入新一波下跌，重新调整下跌目标，首先看500点支撑，结构性目标可能至453点附近，需重视此风险 。</w:t>
      </w:r>
    </w:p>
    <w:p w14:paraId="43399B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有色（黄金）</w:t>
      </w:r>
      <w:r>
        <w:t>：今日大幅反弹仅为下跌途中的反弹，不具备反转条件（缺乏筑基过程及异常成交量），今日高点极可能是反弹高点，不建议参与 。</w:t>
      </w:r>
    </w:p>
    <w:p w14:paraId="15EF12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</w:t>
      </w:r>
      <w:r>
        <w:t>：</w:t>
      </w:r>
    </w:p>
    <w:p w14:paraId="30614C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：明确下跌结构中的反弹，不具备上行条件，勿轻信阳线，待后期跌至1,000点附近形成底部再考虑操作 。</w:t>
      </w:r>
    </w:p>
    <w:p w14:paraId="797A91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：跌破5,000点，接下来按4,800-5,200点区间跟踪横盘震荡情况，再判断后续走势 。</w:t>
      </w:r>
    </w:p>
    <w:p w14:paraId="6F64AC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BC120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EE8DD"/>
    <w:multiLevelType w:val="multilevel"/>
    <w:tmpl w:val="E77EE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5655F3"/>
    <w:multiLevelType w:val="multilevel"/>
    <w:tmpl w:val="EC5655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3928EE"/>
    <w:multiLevelType w:val="multilevel"/>
    <w:tmpl w:val="18392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CBEB59"/>
    <w:multiLevelType w:val="multilevel"/>
    <w:tmpl w:val="76CBE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75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2026-07-04T08:46:56Z</dcterms:created>
  <dc:creator>11</dc:creator>
  <cp:lastModifiedBy>赵振宇</cp:lastModifiedBy>
  <dcterms:modified xsi:type="dcterms:W3CDTF">2026-07-04T08:48:13Z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DE27FE70E8B347C3B8125DAF660E5544_12</vt:lpwstr>
  </property>
</Properties>
</file>