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A54438">
      <w:pPr>
        <w:pStyle w:val="2"/>
        <w:keepNext w:val="0"/>
        <w:keepLines w:val="0"/>
        <w:widowControl/>
        <w:suppressLineNumbers w:val="0"/>
      </w:pPr>
      <w:r>
        <w:t>股市行情复盘与板块走势分析</w:t>
      </w:r>
    </w:p>
    <w:p w14:paraId="1F97C6B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会议主题</w:t>
      </w:r>
      <w:r>
        <w:t>：大盘及主要行业板块技术面分析与操作策略</w:t>
      </w:r>
    </w:p>
    <w:p w14:paraId="43E0FFD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主讲人</w:t>
      </w:r>
      <w:r>
        <w:t>：云</w:t>
      </w:r>
    </w:p>
    <w:p w14:paraId="6E071DF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核心观点</w:t>
      </w:r>
      <w:r>
        <w:t>：整体维持看涨基调，重点关注关键支撑位的得失与压力区的震荡消化</w:t>
      </w:r>
    </w:p>
    <w:p w14:paraId="2F65AD1A">
      <w:pPr>
        <w:pStyle w:val="5"/>
        <w:keepNext w:val="0"/>
        <w:keepLines w:val="0"/>
        <w:widowControl/>
        <w:suppressLineNumbers w:val="0"/>
      </w:pPr>
      <w:r>
        <w:t xml:space="preserve">&gt; </w:t>
      </w:r>
      <w:r>
        <w:rPr>
          <w:rStyle w:val="8"/>
        </w:rPr>
        <w:t>摘要</w:t>
      </w:r>
      <w:r>
        <w:t>：会议由分析师云主持，旨在复盘当日股市表现并研判后市走向。核心结论为大盘在4000点获支撑后反弹，但面临4085点重压，需震荡蓄势；深成指、创业板及科创50结构总体看涨。板块方面，证券、半导体、光学光电子等科技与金融主线维持乐观，而军工、能源及部分金属板块仅视为反弹或震荡，不具备持续上涨条件，操作上建议关注支撑位防守，避免盲目追涨。</w:t>
      </w:r>
    </w:p>
    <w:p w14:paraId="33B010A8">
      <w:pPr>
        <w:pStyle w:val="3"/>
        <w:keepNext w:val="0"/>
        <w:keepLines w:val="0"/>
        <w:widowControl/>
        <w:suppressLineNumbers w:val="0"/>
      </w:pPr>
      <w:r>
        <w:t>一、 大盘指数走势研判</w:t>
      </w:r>
    </w:p>
    <w:p w14:paraId="7FCCF3F8">
      <w:pPr>
        <w:pStyle w:val="4"/>
        <w:keepNext w:val="0"/>
        <w:keepLines w:val="0"/>
        <w:widowControl/>
        <w:suppressLineNumbers w:val="0"/>
      </w:pPr>
      <w:r>
        <w:t>1. 上证指数</w:t>
      </w:r>
    </w:p>
    <w:p w14:paraId="055325C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当前状态</w:t>
      </w:r>
      <w:r>
        <w:t>：受4000点支撑出现反弹，突破周五阴线实体中点4060点 。</w:t>
      </w:r>
    </w:p>
    <w:p w14:paraId="7606EBB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压力与策略</w:t>
      </w:r>
      <w:r>
        <w:t>：4085点区域压力较重，直接突破难度大，预计将在4060点附近震荡整理 。后市需等待指数站稳4085点后，再确认恢复上涨趋势 。</w:t>
      </w:r>
    </w:p>
    <w:p w14:paraId="040B9EA3">
      <w:pPr>
        <w:pStyle w:val="4"/>
        <w:keepNext w:val="0"/>
        <w:keepLines w:val="0"/>
        <w:widowControl/>
        <w:suppressLineNumbers w:val="0"/>
      </w:pPr>
      <w:r>
        <w:t>2. 深证成指</w:t>
      </w:r>
    </w:p>
    <w:p w14:paraId="17AAC55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当前状态</w:t>
      </w:r>
      <w:r>
        <w:t>：在15,000点上方震荡，未跌破下方支撑，视为突破旗形后的回踩，属于上涨结构中的正常调整 。</w:t>
      </w:r>
    </w:p>
    <w:p w14:paraId="65CF7FE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风险提示</w:t>
      </w:r>
      <w:r>
        <w:t>：若未来两三天跌破15,000点，则深度调整风险加大；目前仍以看涨为主 。</w:t>
      </w:r>
    </w:p>
    <w:p w14:paraId="24FBE46E">
      <w:pPr>
        <w:pStyle w:val="4"/>
        <w:keepNext w:val="0"/>
        <w:keepLines w:val="0"/>
        <w:widowControl/>
        <w:suppressLineNumbers w:val="0"/>
      </w:pPr>
      <w:r>
        <w:t>3. 创业板指</w:t>
      </w:r>
    </w:p>
    <w:p w14:paraId="39421F1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当前状态</w:t>
      </w:r>
      <w:r>
        <w:t>：处于4150~4350点的横盘区间，受上方大级别通道上轨压制，反复震荡 。</w:t>
      </w:r>
    </w:p>
    <w:p w14:paraId="2A9F1BA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趋势判断</w:t>
      </w:r>
      <w:r>
        <w:t>：从4150点支撑处反弹，整体理解为上涨中继，结构上保持看涨 。</w:t>
      </w:r>
    </w:p>
    <w:p w14:paraId="0542EF21">
      <w:pPr>
        <w:pStyle w:val="4"/>
        <w:keepNext w:val="0"/>
        <w:keepLines w:val="0"/>
        <w:widowControl/>
        <w:suppressLineNumbers w:val="0"/>
      </w:pPr>
      <w:r>
        <w:t>4. 科创50</w:t>
      </w:r>
    </w:p>
    <w:p w14:paraId="1447DBD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当前状态</w:t>
      </w:r>
      <w:r>
        <w:t>：持续攀升，下方2000点支撑未破 。</w:t>
      </w:r>
    </w:p>
    <w:p w14:paraId="669D29C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操作建议</w:t>
      </w:r>
      <w:r>
        <w:t>：突破通道上轨可能进入加速上涨或超买状态，虽看涨但不鼓励追涨 。短期关注今日阳线实体中点2077点位置 。</w:t>
      </w:r>
    </w:p>
    <w:p w14:paraId="7A0F5CC1">
      <w:pPr>
        <w:pStyle w:val="3"/>
        <w:keepNext w:val="0"/>
        <w:keepLines w:val="0"/>
        <w:widowControl/>
        <w:suppressLineNumbers w:val="0"/>
      </w:pPr>
      <w:r>
        <w:t>二、 重点行业板块分析</w:t>
      </w:r>
    </w:p>
    <w:p w14:paraId="7118ED46">
      <w:pPr>
        <w:pStyle w:val="4"/>
        <w:keepNext w:val="0"/>
        <w:keepLines w:val="0"/>
        <w:widowControl/>
        <w:suppressLineNumbers w:val="0"/>
      </w:pPr>
      <w:r>
        <w:t>1. 金融板块</w:t>
      </w:r>
    </w:p>
    <w:p w14:paraId="089D060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证券</w:t>
      </w:r>
      <w:r>
        <w:t>：呈现双底形态，受1800点压力回落进行回踩 。只要不跌破上周四低点，即可保持乐观；震荡时间越长，后续上涨潜力越大 。因成交量较大，预计需更多时间震荡蓄势 。</w:t>
      </w:r>
    </w:p>
    <w:p w14:paraId="4E8CA72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保险</w:t>
      </w:r>
      <w:r>
        <w:t>：在2500点支撑处反弹，成交量放大显示有资金抄底 。该区域创新低风险较小，预计需在2500点附近横盘震荡后再寻求上行 。</w:t>
      </w:r>
    </w:p>
    <w:p w14:paraId="1A700387">
      <w:pPr>
        <w:pStyle w:val="4"/>
        <w:keepNext w:val="0"/>
        <w:keepLines w:val="0"/>
        <w:widowControl/>
        <w:suppressLineNumbers w:val="0"/>
      </w:pPr>
      <w:r>
        <w:t>2. 科技板块</w:t>
      </w:r>
    </w:p>
    <w:p w14:paraId="0041DFE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半导体</w:t>
      </w:r>
      <w:r>
        <w:t>：持续攀升，保护性止盈位设在上周四低点10620点 。只要不跌破该点位，维持看涨，采取降低仓位做多的策略 。</w:t>
      </w:r>
    </w:p>
    <w:p w14:paraId="776E152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元件</w:t>
      </w:r>
      <w:r>
        <w:t>：上涨途中横盘，下方支撑位16166点未破，视为上涨中继，按阶梯式上涨对待 。</w:t>
      </w:r>
    </w:p>
    <w:p w14:paraId="58A4650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光学光电子</w:t>
      </w:r>
      <w:r>
        <w:t>：今日回落但未跌破上周四低点1818点 。若本周守住该点位，继续看涨，目标位看至2000点 。</w:t>
      </w:r>
    </w:p>
    <w:p w14:paraId="6C08F15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消费电子</w:t>
      </w:r>
      <w:r>
        <w:t>：大幅下跌，关注5620点支撑 。若跌破可能回撤至5245点，但后期仍存希望 。</w:t>
      </w:r>
    </w:p>
    <w:p w14:paraId="36ECD12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电子化学品</w:t>
      </w:r>
      <w:r>
        <w:t>：出现放量，保护性止盈位设为今日低点 。若跌破今日低点则本轮上涨结束，预计更可能在阳线范围内震荡 。</w:t>
      </w:r>
    </w:p>
    <w:p w14:paraId="1C5C2DB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计算机设备</w:t>
      </w:r>
      <w:r>
        <w:t>：在1800~1845点区域获得支撑并反弹，但持续上涨动力不足，需在此位置震荡1~2周 。</w:t>
      </w:r>
    </w:p>
    <w:p w14:paraId="0187EE0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通信设备</w:t>
      </w:r>
      <w:r>
        <w:t>：跌破8000点支撑，需关注通道下轨或7420点附近的支撑反弹 。依托上升趋势线，若本周能站稳8000点可继续看涨；若无法站上8193点，变数较大 。</w:t>
      </w:r>
    </w:p>
    <w:p w14:paraId="28036FA5">
      <w:pPr>
        <w:pStyle w:val="4"/>
        <w:keepNext w:val="0"/>
        <w:keepLines w:val="0"/>
        <w:widowControl/>
        <w:suppressLineNumbers w:val="0"/>
      </w:pPr>
      <w:r>
        <w:t>3. 军工板块</w:t>
      </w:r>
    </w:p>
    <w:p w14:paraId="07026CDE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航天装备</w:t>
      </w:r>
      <w:r>
        <w:t>：仅为反弹，不具备持续上涨条件 。预期在5000~6000点区间震荡，上周五的大阳线仅是受5000点支撑引发的强势反弹 。</w:t>
      </w:r>
    </w:p>
    <w:p w14:paraId="05FDBBC6">
      <w:pPr>
        <w:pStyle w:val="4"/>
        <w:keepNext w:val="0"/>
        <w:keepLines w:val="0"/>
        <w:widowControl/>
        <w:suppressLineNumbers w:val="0"/>
      </w:pPr>
      <w:r>
        <w:t>4. 消费与医药板块</w:t>
      </w:r>
    </w:p>
    <w:p w14:paraId="061E7994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创新药</w:t>
      </w:r>
      <w:r>
        <w:t>：沿通道追踪，在下轨形成小规模双底后突破回踩 。反弹至1000点附近将遇阻回落，暂不具备反转走主升浪条件，大阳线不代表行情持续 。</w:t>
      </w:r>
    </w:p>
    <w:p w14:paraId="2BC81B95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化学制药</w:t>
      </w:r>
      <w:r>
        <w:t>：进入左侧底部箱体，从2200点形成小头肩底反弹 。短期重视2500点压力，若能在2400~2500点震荡1~2周，再考虑上行 。</w:t>
      </w:r>
    </w:p>
    <w:p w14:paraId="72F891B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医疗服务</w:t>
      </w:r>
      <w:r>
        <w:t>：大阳线突破5000点，但不会轻易远离关口 。未来两周若不跌破今日低点，确认为有效突破，下一站压力位5300点 。</w:t>
      </w:r>
    </w:p>
    <w:p w14:paraId="5E2E2963">
      <w:pPr>
        <w:pStyle w:val="4"/>
        <w:keepNext w:val="0"/>
        <w:keepLines w:val="0"/>
        <w:widowControl/>
        <w:suppressLineNumbers w:val="0"/>
      </w:pPr>
      <w:r>
        <w:t>5. 能源与资源板块</w:t>
      </w:r>
    </w:p>
    <w:p w14:paraId="1D6A1D4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煤炭</w:t>
      </w:r>
      <w:r>
        <w:t>：在1600点位置反弹，性质为反弹而非反转 。</w:t>
      </w:r>
    </w:p>
    <w:p w14:paraId="5C942712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石油</w:t>
      </w:r>
      <w:r>
        <w:t>：在1000点位置自然反弹，目标看至1100点左右 。</w:t>
      </w:r>
    </w:p>
    <w:p w14:paraId="262FF52F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电力</w:t>
      </w:r>
      <w:r>
        <w:t>：在左侧密集区反弹，2100点难以直接通过，需筑底过程 。</w:t>
      </w:r>
    </w:p>
    <w:p w14:paraId="15CAA021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奠基（可能是特定细分领域或识别误差，依原文）</w:t>
      </w:r>
      <w:r>
        <w:t>：在3000点位置反弹，最高看至3300点左右 。</w:t>
      </w:r>
    </w:p>
    <w:p w14:paraId="180846C5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电网设备</w:t>
      </w:r>
      <w:r>
        <w:t>：通道下轨反弹，空间有限，目标位1318点 。</w:t>
      </w:r>
    </w:p>
    <w:p w14:paraId="2A6E39A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电池</w:t>
      </w:r>
      <w:r>
        <w:t>：受900点支撑反弹，目前在900~950点震荡，暂无恢复上涨条件 。</w:t>
      </w:r>
    </w:p>
    <w:p w14:paraId="105C0219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光伏设备</w:t>
      </w:r>
      <w:r>
        <w:t>：在550点附近震荡，形势不明朗，需站稳560点才好 。</w:t>
      </w:r>
    </w:p>
    <w:p w14:paraId="4B6676EC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贵金属</w:t>
      </w:r>
      <w:r>
        <w:t>：下跌途中的小阳线反弹，后期看至2000点 。</w:t>
      </w:r>
    </w:p>
    <w:p w14:paraId="4D4D027F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小金属</w:t>
      </w:r>
      <w:r>
        <w:t>：卡在8000点位置，若未来两周守住可进一步看涨 。</w:t>
      </w:r>
    </w:p>
    <w:p w14:paraId="734A134C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工业金属</w:t>
      </w:r>
      <w:r>
        <w:t>：震荡下行，看至3000点附近 。</w:t>
      </w:r>
    </w:p>
    <w:p w14:paraId="25622999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能源金属</w:t>
      </w:r>
      <w:r>
        <w:t>：700点为短期分水岭，若未来1~2周站稳700点可恢复看涨 。</w:t>
      </w:r>
    </w:p>
    <w:p w14:paraId="6ADBE664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金属新材料</w:t>
      </w:r>
      <w:r>
        <w:t>：大幅下跌至3200点支撑，反弹看至3343点，短期直接恢复上涨可能性不大 。</w:t>
      </w:r>
    </w:p>
    <w:p w14:paraId="713F1B5B">
      <w:pPr>
        <w:pStyle w:val="4"/>
        <w:keepNext w:val="0"/>
        <w:keepLines w:val="0"/>
        <w:widowControl/>
        <w:suppressLineNumbers w:val="0"/>
      </w:pPr>
      <w:r>
        <w:t>6. 其他制造板块</w:t>
      </w:r>
    </w:p>
    <w:p w14:paraId="20C0C9E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机器人</w:t>
      </w:r>
      <w:r>
        <w:t>：受箱体上边界4800点支撑反弹，目标看至5000点，届时将遇阻回落震荡 。</w:t>
      </w:r>
    </w:p>
    <w:p w14:paraId="78D0CAC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玻璃玻纤</w:t>
      </w:r>
      <w:r>
        <w:t>：加速上涨后出现阴包阳，触发保护性止盈 。关注7500点支撑反应，目前状态为可看涨但严禁追涨 。</w:t>
      </w:r>
    </w:p>
    <w:p w14:paraId="0F7A9AC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*内容由AI生成，仅供参考</w:t>
      </w:r>
    </w:p>
    <w:p w14:paraId="66C5FE43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9718533"/>
    <w:multiLevelType w:val="multilevel"/>
    <w:tmpl w:val="8971853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D682EBD"/>
    <w:multiLevelType w:val="multilevel"/>
    <w:tmpl w:val="9D682EB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9DB46F09"/>
    <w:multiLevelType w:val="multilevel"/>
    <w:tmpl w:val="9DB46F0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E037C72C"/>
    <w:multiLevelType w:val="multilevel"/>
    <w:tmpl w:val="E037C72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E4E48AFF"/>
    <w:multiLevelType w:val="multilevel"/>
    <w:tmpl w:val="E4E48A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05C29982"/>
    <w:multiLevelType w:val="multilevel"/>
    <w:tmpl w:val="05C2998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10D1A683"/>
    <w:multiLevelType w:val="multilevel"/>
    <w:tmpl w:val="10D1A68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30A3F5DA"/>
    <w:multiLevelType w:val="multilevel"/>
    <w:tmpl w:val="30A3F5D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50BBEA33"/>
    <w:multiLevelType w:val="multilevel"/>
    <w:tmpl w:val="50BBEA3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5F128FC1"/>
    <w:multiLevelType w:val="multilevel"/>
    <w:tmpl w:val="5F128FC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6B893E69"/>
    <w:multiLevelType w:val="multilevel"/>
    <w:tmpl w:val="6B893E6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7"/>
  </w:num>
  <w:num w:numId="2">
    <w:abstractNumId w:val="6"/>
  </w:num>
  <w:num w:numId="3">
    <w:abstractNumId w:val="4"/>
  </w:num>
  <w:num w:numId="4">
    <w:abstractNumId w:val="0"/>
  </w:num>
  <w:num w:numId="5">
    <w:abstractNumId w:val="5"/>
  </w:num>
  <w:num w:numId="6">
    <w:abstractNumId w:val="2"/>
  </w:num>
  <w:num w:numId="7">
    <w:abstractNumId w:val="9"/>
  </w:num>
  <w:num w:numId="8">
    <w:abstractNumId w:val="3"/>
  </w:num>
  <w:num w:numId="9">
    <w:abstractNumId w:val="8"/>
  </w:num>
  <w:num w:numId="10">
    <w:abstractNumId w:val="10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E3E15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2026-07-04T08:02:00Z</dcterms:created>
  <dc:creator>11</dc:creator>
  <cp:lastModifiedBy>赵振宇</cp:lastModifiedBy>
  <dcterms:modified xsi:type="dcterms:W3CDTF">2026-07-04T08:02:31Z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eyJoZGlkIjoiOTc3M2Y5NzIzMDFlZjAyY2Q4Njk5ODkyYjFjNzBiNTQiLCJ1c2VySWQiOiIzMTgyOTE0NTUifQ==</vt:lpwstr>
  </property>
  <property fmtid="{D5CDD505-2E9C-101B-9397-08002B2CF9AE}" pid="4" name="ICV">
    <vt:lpwstr>6B4D1571281D4CF295C011BE5EB24966_12</vt:lpwstr>
  </property>
</Properties>
</file>