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BA525">
      <w:pPr>
        <w:pStyle w:val="2"/>
        <w:keepNext w:val="0"/>
        <w:keepLines w:val="0"/>
        <w:widowControl/>
        <w:suppressLineNumbers w:val="0"/>
      </w:pPr>
      <w:r>
        <w:t>股市大盘走势分析与板块策略研判</w:t>
      </w:r>
    </w:p>
    <w:p w14:paraId="46C09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：股市行情回顾、技术面分析及各板块操作策略</w:t>
      </w:r>
    </w:p>
    <w:p w14:paraId="7651D9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：长期看涨（目标7400点），短期风险为主，关注关键支撑位反弹机会</w:t>
      </w:r>
    </w:p>
    <w:p w14:paraId="54B09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主要涉及板块</w:t>
      </w:r>
      <w:r>
        <w:t>：金融、科技、消费、能源、有色、化工、机械等</w:t>
      </w:r>
    </w:p>
    <w:p w14:paraId="6184451E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今日股市大盘跌破4000点后的宽幅震荡格局，明确长期上涨目标为7400点，但短期需防范深跌风险。会议详细拆解了金融、科技、消费、能源及制造等各大板块的技术形态，指出多数板块处于下跌或震荡调整期，仅部分板块在关键支撑位存在短线反弹机会，建议投资者保持谨慎，避免盲目追高。</w:t>
      </w:r>
    </w:p>
    <w:p w14:paraId="0EC1737D">
      <w:pPr>
        <w:pStyle w:val="3"/>
        <w:keepNext w:val="0"/>
        <w:keepLines w:val="0"/>
        <w:widowControl/>
        <w:suppressLineNumbers w:val="0"/>
      </w:pPr>
      <w:r>
        <w:t>一、 大盘整体走势研判</w:t>
      </w:r>
    </w:p>
    <w:p w14:paraId="225D2C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当前状态</w:t>
      </w:r>
      <w:r>
        <w:t>：大盘低开低走，跌破4000点关口，进入进一步深跌阶段 。</w:t>
      </w:r>
    </w:p>
    <w:p w14:paraId="7C323F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区间定义</w:t>
      </w:r>
      <w:r>
        <w:t>：将大盘归纳为3815~4200点的宽幅震荡区间 。</w:t>
      </w:r>
    </w:p>
    <w:p w14:paraId="3808FF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长期趋势</w:t>
      </w:r>
      <w:r>
        <w:t>：基于3700点下方长达10年的箱体结构，维持高度乐观态度，长期趋势目标看至7400点 。</w:t>
      </w:r>
    </w:p>
    <w:p w14:paraId="427A36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中期结构</w:t>
      </w:r>
      <w:r>
        <w:t>：目前处于大级别或中级别调整中，只要未跌破3800点，从结构上仍属上涨结构，但调整时间可能较长 。</w:t>
      </w:r>
    </w:p>
    <w:p w14:paraId="755CB8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短期策略</w:t>
      </w:r>
      <w:r>
        <w:t>：短期以规避风险为主，不硬扛行情；预计行情在4000点附近反复后，将进一步下探至3900点左右 。</w:t>
      </w:r>
    </w:p>
    <w:p w14:paraId="148C50D8">
      <w:pPr>
        <w:pStyle w:val="3"/>
        <w:keepNext w:val="0"/>
        <w:keepLines w:val="0"/>
        <w:widowControl/>
        <w:suppressLineNumbers w:val="0"/>
      </w:pPr>
      <w:r>
        <w:t>二、 主要指数表现</w:t>
      </w:r>
    </w:p>
    <w:p w14:paraId="23C812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：跌破后回踩15,000点支撑，短期内预计在15,000~15,700点之间震荡，直接破位风险不大，仍处于上升通道内 。</w:t>
      </w:r>
    </w:p>
    <w:p w14:paraId="441841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</w:t>
      </w:r>
      <w:r>
        <w:t>：持续下跌，关注3780点附近的支撑，届时会有所反弹 。</w:t>
      </w:r>
    </w:p>
    <w:p w14:paraId="56A4A7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：在2000点附近徘徊，2000点压力反复验证，上涨条件不充分，预计将在1900~2000点之间维持震荡 。</w:t>
      </w:r>
    </w:p>
    <w:p w14:paraId="2273A9A0">
      <w:pPr>
        <w:pStyle w:val="3"/>
        <w:keepNext w:val="0"/>
        <w:keepLines w:val="0"/>
        <w:widowControl/>
        <w:suppressLineNumbers w:val="0"/>
      </w:pPr>
      <w:r>
        <w:t>三、 重点板块技术分析</w:t>
      </w:r>
    </w:p>
    <w:p w14:paraId="300CBC7D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0BBCD7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：大幅跳水，未守住上周三大阳线实体中点，但守住了低点 。若能在在大阳线范围内横盘震荡，视为上涨中继；颈线位1720点支撑可靠，恢复下跌风险不大，需多震荡一段时间 。</w:t>
      </w:r>
    </w:p>
    <w:p w14:paraId="73A05500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53EF83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：1万点支撑明显，将有反弹，但上方压力大，最高看至11,000点，随后大概率进一步探底至9300点 。</w:t>
      </w:r>
    </w:p>
    <w:p w14:paraId="6B5ADE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：失守15,000点，将退回至13650点附近 。</w:t>
      </w:r>
    </w:p>
    <w:p w14:paraId="2A147D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：持续下跌，下方1700点支撑明显，反弹看至1800点，但恢复上涨可能性不大 。</w:t>
      </w:r>
    </w:p>
    <w:p w14:paraId="226F4C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：归纳为5245~6000点箱体，触及下边界后将有所反弹 。</w:t>
      </w:r>
    </w:p>
    <w:p w14:paraId="488BF5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：跌破2500点，看至2320点附近会有反弹，但难恢复上涨 。</w:t>
      </w:r>
    </w:p>
    <w:p w14:paraId="4FD8DD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计算机设备/IT服务/软件开发</w:t>
      </w:r>
      <w:r>
        <w:t>：计算机设备在支撑区震荡，停顿非好现象，大概率跌穿1800点；IT服务和软件开发维持看跌，分别看至1000点及无好转迹象 。</w:t>
      </w:r>
    </w:p>
    <w:p w14:paraId="02BA25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：7000点支撑处无力反弹，最高看至7511点，后期持续下跌奔着6000点去 。</w:t>
      </w:r>
    </w:p>
    <w:p w14:paraId="620050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</w:t>
      </w:r>
      <w:r>
        <w:t>：处于明确下降通道，近期上涨仅为反弹，最高看至1400点，无太大关注价值 。</w:t>
      </w:r>
    </w:p>
    <w:p w14:paraId="37A57C18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361565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整体观点</w:t>
      </w:r>
      <w:r>
        <w:t>：不具备恢复上涨条件 。</w:t>
      </w:r>
    </w:p>
    <w:p w14:paraId="559C76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：遇阻于6000点强压力，跌破上周五低点，将在5000~6000点间横盘震荡 。</w:t>
      </w:r>
    </w:p>
    <w:p w14:paraId="61FED6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：下降通道内横盘，跌破1500点支撑，进一步看跌至1400点 。</w:t>
      </w:r>
    </w:p>
    <w:p w14:paraId="16CC16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：总体上涨势但条件不充分，若本周守住1400点可看至1500点，否则为下跌结构 。</w:t>
      </w:r>
    </w:p>
    <w:p w14:paraId="0025E3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军工电子</w:t>
      </w:r>
      <w:r>
        <w:t>：在1100~1200点震荡，无恢复上涨条件 。</w:t>
      </w:r>
    </w:p>
    <w:p w14:paraId="09929937">
      <w:pPr>
        <w:pStyle w:val="4"/>
        <w:keepNext w:val="0"/>
        <w:keepLines w:val="0"/>
        <w:widowControl/>
        <w:suppressLineNumbers w:val="0"/>
      </w:pPr>
      <w:r>
        <w:t>4. 消费与医疗</w:t>
      </w:r>
    </w:p>
    <w:p w14:paraId="2EDB54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：昨日超预期涨幅后收爆量上影线，确认为见顶信号 。接下来两周是关键，若能在1000点之上震荡（顶着下降通道上轨横盘），则视为上涨中继，后续有望迎来大级别主升浪 。</w:t>
      </w:r>
    </w:p>
    <w:p w14:paraId="3C7832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：跳水但仍在大阳线范围内震荡，只要不跌破4738点，保持乐观，震荡两周后往上走希望较大 。</w:t>
      </w:r>
    </w:p>
    <w:p w14:paraId="52E87024">
      <w:pPr>
        <w:pStyle w:val="4"/>
        <w:keepNext w:val="0"/>
        <w:keepLines w:val="0"/>
        <w:widowControl/>
        <w:suppressLineNumbers w:val="0"/>
      </w:pPr>
      <w:r>
        <w:t>5. 能源板块</w:t>
      </w:r>
    </w:p>
    <w:p w14:paraId="5F85D5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：受压于1736点，若在昨日阳线范围内震荡一两周有望突破，否则跌破低点继续看跌 。</w:t>
      </w:r>
    </w:p>
    <w:p w14:paraId="0BAA58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：暂无好转，仅为反弹 。</w:t>
      </w:r>
    </w:p>
    <w:p w14:paraId="7DCB9C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：看跌至2000点，届时会有明显反弹及短线机会 。</w:t>
      </w:r>
    </w:p>
    <w:p w14:paraId="2C2407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电机/电网/电池/光伏</w:t>
      </w:r>
      <w:r>
        <w:t>：电机跌破3353点看至3000点；电网持续看跌至1000点；电池900点支撑恐难守住；光伏看跌至500点，届时反弹看至540点，但无恢复上涨信号 。</w:t>
      </w:r>
    </w:p>
    <w:p w14:paraId="5063F6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风电设备</w:t>
      </w:r>
      <w:r>
        <w:t>：否定头肩底形态，继续看跌，后期来到600点风险较大 。</w:t>
      </w:r>
    </w:p>
    <w:p w14:paraId="4DFB8101">
      <w:pPr>
        <w:pStyle w:val="4"/>
        <w:keepNext w:val="0"/>
        <w:keepLines w:val="0"/>
        <w:widowControl/>
        <w:suppressLineNumbers w:val="0"/>
      </w:pPr>
      <w:r>
        <w:t>6. 有色金属</w:t>
      </w:r>
    </w:p>
    <w:p w14:paraId="7EF199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</w:t>
      </w:r>
      <w:r>
        <w:t>：下跌势中的反弹，未来两周若能守住4666点可能形成阶段性底部，但概率不大，更可能退回4000点 。</w:t>
      </w:r>
    </w:p>
    <w:p w14:paraId="4636D5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：关注7000点支撑，虽有反弹但高位成交量大，资金被套，上行难度大，可操作性不高 。</w:t>
      </w:r>
    </w:p>
    <w:p w14:paraId="67BFD1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：在3462点分水岭遇阻回落，进一步看跌至3000点 。</w:t>
      </w:r>
    </w:p>
    <w:p w14:paraId="02491D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能源金属/金属新材料</w:t>
      </w:r>
      <w:r>
        <w:t>：能源金属缓慢下行，退回640点附近；金属新材料跌破3200点，退回3000点附近会有反弹，但能否上涨暂不确定 。</w:t>
      </w:r>
    </w:p>
    <w:p w14:paraId="45A202ED">
      <w:pPr>
        <w:pStyle w:val="4"/>
        <w:keepNext w:val="0"/>
        <w:keepLines w:val="0"/>
        <w:widowControl/>
        <w:suppressLineNumbers w:val="0"/>
      </w:pPr>
      <w:r>
        <w:t>7. 化工板块</w:t>
      </w:r>
    </w:p>
    <w:p w14:paraId="11381F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化学纤维</w:t>
      </w:r>
      <w:r>
        <w:t>：跌破4000点，呈震荡下行态势，进一步看跌至3500点，短期难恢复上涨 。</w:t>
      </w:r>
    </w:p>
    <w:p w14:paraId="23B7A2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化学原料/制品</w:t>
      </w:r>
      <w:r>
        <w:t>：化学原料跌破3000点分水岭，看跌至2500点；化学制品在3000~3200点震荡，前期突破证实为诱多，后期看跌至2500点 。</w:t>
      </w:r>
    </w:p>
    <w:p w14:paraId="6606DE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塑料/橡胶/农化/非金属</w:t>
      </w:r>
      <w:r>
        <w:t>：塑料跌破3700点看至3400点；橡胶突破2200点后破位且爆量，确认为诱多，看跌至2000点；农化制品为非金属材料均呈下跌结构，分别看低至相应支撑位 。</w:t>
      </w:r>
    </w:p>
    <w:p w14:paraId="34223B3A">
      <w:pPr>
        <w:pStyle w:val="4"/>
        <w:keepNext w:val="0"/>
        <w:keepLines w:val="0"/>
        <w:widowControl/>
        <w:suppressLineNumbers w:val="0"/>
      </w:pPr>
      <w:r>
        <w:t>8. 机械设备</w:t>
      </w:r>
    </w:p>
    <w:p w14:paraId="732FEB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通用/专用设备</w:t>
      </w:r>
      <w:r>
        <w:t>：通用设备跌破3127点，关注300点支撑，未破前保持健康上涨结构；专用设备归纳为3000~3300点区间，未破3000点可保持乐观 。</w:t>
      </w:r>
    </w:p>
    <w:p w14:paraId="29027C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：大幅反弹至1133点压力处冲高回落，收见顶K线。回落关注1100点支撑，若维持两周再考虑上行，目前形势不乐观，反转希望不大 。</w:t>
      </w:r>
    </w:p>
    <w:p w14:paraId="5EDD64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：在4800~5000点震荡，无明显好转，关注4800点支撑，若本周在此附近小K线波动，需做好向下破位准备 。</w:t>
      </w:r>
      <w:bookmarkStart w:id="0" w:name="_GoBack"/>
      <w:bookmarkEnd w:id="0"/>
    </w:p>
    <w:p w14:paraId="5B6687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6A068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233D2"/>
    <w:multiLevelType w:val="multilevel"/>
    <w:tmpl w:val="A5623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7EC28D"/>
    <w:multiLevelType w:val="multilevel"/>
    <w:tmpl w:val="AF7EC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46F9D3"/>
    <w:multiLevelType w:val="multilevel"/>
    <w:tmpl w:val="BE46F9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962BBA"/>
    <w:multiLevelType w:val="multilevel"/>
    <w:tmpl w:val="DD962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C1EA93"/>
    <w:multiLevelType w:val="multilevel"/>
    <w:tmpl w:val="F4C1E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5A0F070"/>
    <w:multiLevelType w:val="multilevel"/>
    <w:tmpl w:val="F5A0F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4475D62"/>
    <w:multiLevelType w:val="multilevel"/>
    <w:tmpl w:val="24475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DA1A2AA"/>
    <w:multiLevelType w:val="multilevel"/>
    <w:tmpl w:val="2DA1A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331C129"/>
    <w:multiLevelType w:val="multilevel"/>
    <w:tmpl w:val="4331C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7DC151"/>
    <w:multiLevelType w:val="multilevel"/>
    <w:tmpl w:val="4A7DC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173E598"/>
    <w:multiLevelType w:val="multilevel"/>
    <w:tmpl w:val="5173E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86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2026-07-08T00:22:05Z</dcterms:created>
  <dc:creator>11</dc:creator>
  <cp:lastModifiedBy>赵振宇</cp:lastModifiedBy>
  <dcterms:modified xsi:type="dcterms:W3CDTF">2026-07-08T00:24:22Z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ADEEA75D17F44084819B84E835E1CED7_12</vt:lpwstr>
  </property>
</Properties>
</file>