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50D39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31D465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：大盘技术面分析及各板块后市策略</w:t>
      </w:r>
    </w:p>
    <w:p w14:paraId="592681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60838D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：大盘处于主跌浪阶段，短期观望为主；科技股泡沫破裂需止损，医药医疗关注震荡筑底。</w:t>
      </w:r>
    </w:p>
    <w:p w14:paraId="6D334BE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跌破3800点后的技术形态，指出当前处于主力出货引发的恐慌性主跌浪，但长期上涨结构未变。建议短期以观望为主，警惕科技板块泡沫破裂风险，重点关注医药医疗能否在1000-1100点区间形成上涨中继，并对金融、能源等板块给出具体点位预测及操作策略。</w:t>
      </w:r>
    </w:p>
    <w:p w14:paraId="347DE2FA">
      <w:pPr>
        <w:pStyle w:val="3"/>
        <w:keepNext w:val="0"/>
        <w:keepLines w:val="0"/>
        <w:widowControl/>
        <w:suppressLineNumbers w:val="0"/>
      </w:pPr>
      <w:r>
        <w:t>大盘走势与技术面分析</w:t>
      </w:r>
    </w:p>
    <w:p w14:paraId="38D624C6">
      <w:pPr>
        <w:pStyle w:val="4"/>
        <w:keepNext w:val="0"/>
        <w:keepLines w:val="0"/>
        <w:widowControl/>
        <w:suppressLineNumbers w:val="0"/>
      </w:pPr>
      <w:r>
        <w:t>主跌浪模型与市场心理</w:t>
      </w:r>
    </w:p>
    <w:p w14:paraId="204AA4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技术形态演变</w:t>
      </w:r>
      <w:r>
        <w:t>：主升浪经历底部横盘、缓慢上涨、快速上涨至急速上涨；反之，下跌过程对应缓慢下跌、快速下跌至急速下跌，具有必然性 。</w:t>
      </w:r>
    </w:p>
    <w:p w14:paraId="37745A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主力出货逻辑</w:t>
      </w:r>
      <w:r>
        <w:t>：高位主力通过大阳线、三连阳等诱多动作制造行情延续假象，诱导散户追涨或持仓不动，导致被套加深 。</w:t>
      </w:r>
    </w:p>
    <w:p w14:paraId="681FDC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市场情绪变化</w:t>
      </w:r>
      <w:r>
        <w:t>：持仓者心理从担忧转为失望、绝望，最终因昨日大幅跌破3800点引发恐慌，可能诱发融资盘强平 。</w:t>
      </w:r>
    </w:p>
    <w:p w14:paraId="561883E4">
      <w:pPr>
        <w:pStyle w:val="4"/>
        <w:keepNext w:val="0"/>
        <w:keepLines w:val="0"/>
        <w:widowControl/>
        <w:suppressLineNumbers w:val="0"/>
      </w:pPr>
      <w:r>
        <w:t>后市展望与关键点位</w:t>
      </w:r>
    </w:p>
    <w:p w14:paraId="48BA3B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总体趋势判断</w:t>
      </w:r>
      <w:r>
        <w:t>：跌破3800点不代表上涨结构彻底走坏，下方有十年底部箱体支撑，当前视为大级别调整而非趋势终结 。</w:t>
      </w:r>
    </w:p>
    <w:p w14:paraId="29304B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阶段性底部特征</w:t>
      </w:r>
      <w:r>
        <w:t>：恐慌性下跌往往伴随阶段性底部，若下周能重回3800点之上并反包周五阴线，行情可期 。</w:t>
      </w:r>
    </w:p>
    <w:p w14:paraId="02877D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主要担忧</w:t>
      </w:r>
      <w:r>
        <w:t>：目前缺乏推动大盘上涨的核心力量，医药医疗权重不足，金融（证券、银行）和科技板块底气不足，建议以观望为主，休养生息 。</w:t>
      </w:r>
    </w:p>
    <w:p w14:paraId="68CDBE30">
      <w:pPr>
        <w:pStyle w:val="3"/>
        <w:keepNext w:val="0"/>
        <w:keepLines w:val="0"/>
        <w:widowControl/>
        <w:suppressLineNumbers w:val="0"/>
      </w:pPr>
      <w:r>
        <w:t>主要指数走势预测</w:t>
      </w:r>
    </w:p>
    <w:p w14:paraId="125D8F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：已跌破14450点至13721附近，呈现恐慌性下跌。上方双顶成立，恢复上涨难度大，预期波段式下跌目标可能在12000点左右 。</w:t>
      </w:r>
    </w:p>
    <w:p w14:paraId="0D419C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：跌破3600点，进入下方密集区，预计在3300点附近会有反弹，需观察后续表现 。</w:t>
      </w:r>
    </w:p>
    <w:p w14:paraId="741CD5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：双顶成立，预判目标位降至1500-1600点区域。因其波动率大，出现大阳线反弹仅为逢高解套或减仓机会，严禁追涨 。</w:t>
      </w:r>
    </w:p>
    <w:p w14:paraId="2AE2EAE0">
      <w:pPr>
        <w:pStyle w:val="3"/>
        <w:keepNext w:val="0"/>
        <w:keepLines w:val="0"/>
        <w:widowControl/>
        <w:suppressLineNumbers w:val="0"/>
      </w:pPr>
      <w:r>
        <w:t>行业板块详细分析</w:t>
      </w:r>
    </w:p>
    <w:p w14:paraId="4CA8B250">
      <w:pPr>
        <w:pStyle w:val="4"/>
        <w:keepNext w:val="0"/>
        <w:keepLines w:val="0"/>
        <w:widowControl/>
        <w:suppressLineNumbers w:val="0"/>
      </w:pPr>
      <w:r>
        <w:t>科技板块：泡沫破裂，看跌为主</w:t>
      </w:r>
    </w:p>
    <w:p w14:paraId="5B253F02">
      <w:pPr>
        <w:pStyle w:val="5"/>
        <w:keepNext w:val="0"/>
        <w:keepLines w:val="0"/>
        <w:widowControl/>
        <w:suppressLineNumbers w:val="0"/>
      </w:pPr>
      <w:r>
        <w:t>科技板块泡沫已破，应认清现实，及时止损，避免幻想 。</w:t>
      </w:r>
    </w:p>
    <w:p w14:paraId="102AD0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：双顶后垮塌，短期无指望，8000点附近可能有微弱反弹，策略为轻仓短线或逢高减仓 。</w:t>
      </w:r>
    </w:p>
    <w:p w14:paraId="52E7CE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元件/光学光电子</w:t>
      </w:r>
      <w:r>
        <w:t>：双顶后破位，目标看向10000点；光学光电子下跌目标更深，至1164-1200点附近 。</w:t>
      </w:r>
    </w:p>
    <w:p w14:paraId="46B751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：双顶成立，4500点反弹后大概率跌回4000点 。</w:t>
      </w:r>
    </w:p>
    <w:p w14:paraId="299940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：呈V型反转状态，无止跌迹象，持续看跌 。</w:t>
      </w:r>
    </w:p>
    <w:p w14:paraId="372A45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：形成明确顶部形态，新一波下跌目标看向1500-1585点 。</w:t>
      </w:r>
    </w:p>
    <w:p w14:paraId="63C387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通讯设备</w:t>
      </w:r>
      <w:r>
        <w:t>：泡沫彻底垮掉，6000点后期难守，预计继续下跌至400点附近 。</w:t>
      </w:r>
    </w:p>
    <w:p w14:paraId="296D06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</w:t>
      </w:r>
      <w:r>
        <w:t>：游戏传媒、军工已走出主跌浪，无操作性 。</w:t>
      </w:r>
    </w:p>
    <w:p w14:paraId="659D93F5">
      <w:pPr>
        <w:pStyle w:val="4"/>
        <w:keepNext w:val="0"/>
        <w:keepLines w:val="0"/>
        <w:widowControl/>
        <w:suppressLineNumbers w:val="0"/>
      </w:pPr>
      <w:r>
        <w:t>金融板块：震荡整理，缺乏爆发力</w:t>
      </w:r>
    </w:p>
    <w:p w14:paraId="59ECE5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国有银行</w:t>
      </w:r>
      <w:r>
        <w:t>：在1800-2000点区间震荡，回踩确认1900点，关注1950点，难以走出主升浪 。</w:t>
      </w:r>
    </w:p>
    <w:p w14:paraId="04DF68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：跌破1720点，双底形态因时间短、区间松散而不具备爆发力，暂无强可操作性 。</w:t>
      </w:r>
    </w:p>
    <w:p w14:paraId="7EB6B055">
      <w:pPr>
        <w:pStyle w:val="4"/>
        <w:keepNext w:val="0"/>
        <w:keepLines w:val="0"/>
        <w:widowControl/>
        <w:suppressLineNumbers w:val="0"/>
      </w:pPr>
      <w:r>
        <w:t>消费与医药：关注震荡筑底</w:t>
      </w:r>
    </w:p>
    <w:p w14:paraId="576937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医药医疗/创新药</w:t>
      </w:r>
      <w:r>
        <w:t>：受1100点压力回落，重点观察1000-1100点区间。若能维持1-2个月震荡，将形成上涨中继，有望博弈大级别主升浪；若守不住则变数较大 。</w:t>
      </w:r>
    </w:p>
    <w:p w14:paraId="74FE9962">
      <w:pPr>
        <w:pStyle w:val="4"/>
        <w:keepNext w:val="0"/>
        <w:keepLines w:val="0"/>
        <w:widowControl/>
        <w:suppressLineNumbers w:val="0"/>
      </w:pPr>
      <w:r>
        <w:t>能源与资源：弱势震荡或看跌</w:t>
      </w:r>
    </w:p>
    <w:p w14:paraId="0FE950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煤炭/石油</w:t>
      </w:r>
      <w:r>
        <w:t>：煤炭勉强守住1736点，因缺底部未必上行；石油区间震荡，无大变化 。</w:t>
      </w:r>
    </w:p>
    <w:p w14:paraId="063B33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电池/光伏</w:t>
      </w:r>
      <w:r>
        <w:t>：电池在800点支撑位挣扎，偏震荡；光伏看至400点，届时会有明显反弹 。</w:t>
      </w:r>
    </w:p>
    <w:p w14:paraId="3E6A63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有色金属</w:t>
      </w:r>
      <w:r>
        <w:t>：</w:t>
      </w:r>
    </w:p>
    <w:p w14:paraId="122855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：头肩底形态被否定，继续看至4000点 。</w:t>
      </w:r>
    </w:p>
    <w:p w14:paraId="0B3455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：跌破6000点，无好转迹象，看跌 。</w:t>
      </w:r>
    </w:p>
    <w:p w14:paraId="71B69D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：小头肩底可能失败，以3462点为分水岭 。</w:t>
      </w:r>
    </w:p>
    <w:p w14:paraId="4BDE45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：看至500点，届时会有反弹，仅适合轻仓短线或逢高减仓 。</w:t>
      </w:r>
    </w:p>
    <w:p w14:paraId="401C26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：持续看跌，目标2000点左右 。</w:t>
      </w:r>
    </w:p>
    <w:p w14:paraId="0BDF3A42">
      <w:pPr>
        <w:pStyle w:val="4"/>
        <w:keepNext w:val="0"/>
        <w:keepLines w:val="0"/>
        <w:widowControl/>
        <w:suppressLineNumbers w:val="0"/>
      </w:pPr>
      <w:r>
        <w:t>其他制造业</w:t>
      </w:r>
    </w:p>
    <w:p w14:paraId="7223D1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：加速下跌，看至4000点附近，届时将有反弹 。</w:t>
      </w:r>
    </w:p>
    <w:p w14:paraId="387BC9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8DB924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6EA25"/>
    <w:multiLevelType w:val="multilevel"/>
    <w:tmpl w:val="B7F6E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AB1BC4"/>
    <w:multiLevelType w:val="multilevel"/>
    <w:tmpl w:val="D9AB1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3AA0E9"/>
    <w:multiLevelType w:val="multilevel"/>
    <w:tmpl w:val="EA3AA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D99937"/>
    <w:multiLevelType w:val="multilevel"/>
    <w:tmpl w:val="23D99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86803ED"/>
    <w:multiLevelType w:val="multilevel"/>
    <w:tmpl w:val="28680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E87C581"/>
    <w:multiLevelType w:val="multilevel"/>
    <w:tmpl w:val="5E87C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E7D9F40"/>
    <w:multiLevelType w:val="multilevel"/>
    <w:tmpl w:val="6E7D9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0AC1E83"/>
    <w:multiLevelType w:val="multilevel"/>
    <w:tmpl w:val="70AC1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9F6D4FF"/>
    <w:multiLevelType w:val="multilevel"/>
    <w:tmpl w:val="79F6D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A6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2026-07-20T14:49:13Z</dcterms:created>
  <dc:creator>11</dc:creator>
  <cp:lastModifiedBy>赵振宇</cp:lastModifiedBy>
  <dcterms:modified xsi:type="dcterms:W3CDTF">2026-07-20T14:49:45Z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C1A8B9E235CE4B09975CAA236596A385_12</vt:lpwstr>
  </property>
</Properties>
</file>